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68" w:lineRule="auto"/>
      </w:pPr>
      <w:r>
        <w:rPr/>
        <w:t>The</w:t>
      </w:r>
      <w:r>
        <w:rPr>
          <w:spacing w:val="-1"/>
        </w:rPr>
        <w:t> </w:t>
      </w:r>
      <w:r>
        <w:rPr/>
        <w:t>Effect</w:t>
      </w:r>
      <w:r>
        <w:rPr>
          <w:spacing w:val="-1"/>
        </w:rPr>
        <w:t> </w:t>
      </w:r>
      <w:r>
        <w:rPr/>
        <w:t>of</w:t>
      </w:r>
      <w:r>
        <w:rPr>
          <w:spacing w:val="-1"/>
        </w:rPr>
        <w:t> </w:t>
      </w:r>
      <w:r>
        <w:rPr/>
        <w:t>Crude</w:t>
      </w:r>
      <w:r>
        <w:rPr>
          <w:spacing w:val="-1"/>
        </w:rPr>
        <w:t> </w:t>
      </w:r>
      <w:r>
        <w:rPr/>
        <w:t>Oil</w:t>
      </w:r>
      <w:r>
        <w:rPr>
          <w:spacing w:val="-1"/>
        </w:rPr>
        <w:t> </w:t>
      </w:r>
      <w:r>
        <w:rPr/>
        <w:t>Price</w:t>
      </w:r>
      <w:r>
        <w:rPr>
          <w:spacing w:val="-1"/>
        </w:rPr>
        <w:t> </w:t>
      </w:r>
      <w:r>
        <w:rPr/>
        <w:t>Changes</w:t>
      </w:r>
      <w:r>
        <w:rPr>
          <w:spacing w:val="-1"/>
        </w:rPr>
        <w:t> </w:t>
      </w:r>
      <w:r>
        <w:rPr/>
        <w:t>on</w:t>
      </w:r>
      <w:r>
        <w:rPr>
          <w:spacing w:val="-1"/>
        </w:rPr>
        <w:t> </w:t>
      </w:r>
      <w:r>
        <w:rPr/>
        <w:t>Civil</w:t>
      </w:r>
      <w:r>
        <w:rPr>
          <w:spacing w:val="-1"/>
        </w:rPr>
        <w:t> </w:t>
      </w:r>
      <w:r>
        <w:rPr/>
        <w:t>Conflict</w:t>
      </w:r>
      <w:r>
        <w:rPr>
          <w:spacing w:val="-1"/>
        </w:rPr>
        <w:t> </w:t>
      </w:r>
      <w:r>
        <w:rPr/>
        <w:t>Intensity in Rentier States</w:t>
      </w:r>
    </w:p>
    <w:p>
      <w:pPr>
        <w:spacing w:line="182" w:lineRule="auto" w:before="258"/>
        <w:ind w:left="3719" w:right="4161" w:firstLine="114"/>
        <w:jc w:val="both"/>
        <w:rPr>
          <w:rFonts w:ascii="Lucida Sans Unicode" w:hAnsi="Lucida Sans Unicode"/>
          <w:sz w:val="24"/>
        </w:rPr>
      </w:pPr>
      <w:r>
        <w:rPr>
          <w:rFonts w:ascii="Times New Roman" w:hAnsi="Times New Roman"/>
          <w:sz w:val="24"/>
        </w:rPr>
        <w:t>Chase Englund</w:t>
      </w:r>
      <w:r>
        <w:rPr>
          <w:rFonts w:ascii="Lucida Sans Unicode" w:hAnsi="Lucida Sans Unicode"/>
          <w:sz w:val="24"/>
          <w:vertAlign w:val="superscript"/>
        </w:rPr>
        <w:t>∗</w:t>
      </w:r>
      <w:r>
        <w:rPr>
          <w:rFonts w:ascii="Lucida Sans Unicode" w:hAnsi="Lucida Sans Unicode"/>
          <w:sz w:val="24"/>
          <w:vertAlign w:val="baseline"/>
        </w:rPr>
        <w:t> </w:t>
      </w:r>
      <w:r>
        <w:rPr>
          <w:rFonts w:ascii="Times New Roman" w:hAnsi="Times New Roman"/>
          <w:sz w:val="24"/>
          <w:vertAlign w:val="baseline"/>
        </w:rPr>
        <w:t>Taylor Vincent</w:t>
      </w:r>
      <w:r>
        <w:rPr>
          <w:rFonts w:ascii="Lucida Sans Unicode" w:hAnsi="Lucida Sans Unicode"/>
          <w:sz w:val="24"/>
          <w:vertAlign w:val="superscript"/>
        </w:rPr>
        <w:t>†</w:t>
      </w:r>
      <w:r>
        <w:rPr>
          <w:rFonts w:ascii="Lucida Sans Unicode" w:hAnsi="Lucida Sans Unicode"/>
          <w:sz w:val="24"/>
          <w:vertAlign w:val="baseline"/>
        </w:rPr>
        <w:t> </w:t>
      </w:r>
      <w:r>
        <w:rPr>
          <w:rFonts w:ascii="Times New Roman" w:hAnsi="Times New Roman"/>
          <w:sz w:val="24"/>
          <w:vertAlign w:val="baseline"/>
        </w:rPr>
        <w:t>Connor</w:t>
      </w:r>
      <w:r>
        <w:rPr>
          <w:rFonts w:ascii="Times New Roman" w:hAnsi="Times New Roman"/>
          <w:spacing w:val="46"/>
          <w:sz w:val="24"/>
          <w:vertAlign w:val="baseline"/>
        </w:rPr>
        <w:t> </w:t>
      </w:r>
      <w:r>
        <w:rPr>
          <w:rFonts w:ascii="Times New Roman" w:hAnsi="Times New Roman"/>
          <w:spacing w:val="-2"/>
          <w:sz w:val="24"/>
          <w:vertAlign w:val="baseline"/>
        </w:rPr>
        <w:t>Kopchick</w:t>
      </w:r>
      <w:r>
        <w:rPr>
          <w:rFonts w:ascii="Lucida Sans Unicode" w:hAnsi="Lucida Sans Unicode"/>
          <w:spacing w:val="-2"/>
          <w:sz w:val="24"/>
          <w:vertAlign w:val="superscript"/>
        </w:rPr>
        <w:t>‡</w:t>
      </w:r>
    </w:p>
    <w:p>
      <w:pPr>
        <w:spacing w:before="156"/>
        <w:ind w:left="4074" w:right="0" w:firstLine="0"/>
        <w:jc w:val="both"/>
        <w:rPr>
          <w:rFonts w:ascii="Lucida Sans Unicode" w:hAnsi="Lucida Sans Unicode"/>
          <w:sz w:val="24"/>
        </w:rPr>
      </w:pPr>
      <w:r>
        <w:rPr>
          <w:rFonts w:ascii="Times New Roman" w:hAnsi="Times New Roman"/>
          <w:sz w:val="24"/>
        </w:rPr>
        <w:t>April</w:t>
      </w:r>
      <w:r>
        <w:rPr>
          <w:rFonts w:ascii="Times New Roman" w:hAnsi="Times New Roman"/>
          <w:spacing w:val="36"/>
          <w:sz w:val="24"/>
        </w:rPr>
        <w:t> </w:t>
      </w:r>
      <w:r>
        <w:rPr>
          <w:rFonts w:ascii="Times New Roman" w:hAnsi="Times New Roman"/>
          <w:spacing w:val="-4"/>
          <w:sz w:val="24"/>
        </w:rPr>
        <w:t>2023</w:t>
      </w:r>
      <w:r>
        <w:rPr>
          <w:rFonts w:ascii="Lucida Sans Unicode" w:hAnsi="Lucida Sans Unicode"/>
          <w:spacing w:val="-4"/>
          <w:sz w:val="24"/>
          <w:vertAlign w:val="superscript"/>
        </w:rPr>
        <w:t>§</w:t>
      </w:r>
    </w:p>
    <w:p>
      <w:pPr>
        <w:pStyle w:val="BodyText"/>
        <w:rPr>
          <w:rFonts w:ascii="Lucida Sans Unicode"/>
          <w:sz w:val="42"/>
        </w:rPr>
      </w:pPr>
    </w:p>
    <w:p>
      <w:pPr>
        <w:spacing w:before="0"/>
        <w:ind w:left="119" w:right="635" w:firstLine="0"/>
        <w:jc w:val="center"/>
        <w:rPr>
          <w:b/>
          <w:sz w:val="18"/>
        </w:rPr>
      </w:pPr>
      <w:r>
        <w:rPr>
          <w:b/>
          <w:spacing w:val="-2"/>
          <w:w w:val="105"/>
          <w:sz w:val="18"/>
        </w:rPr>
        <w:t>Abstract</w:t>
      </w:r>
    </w:p>
    <w:p>
      <w:pPr>
        <w:spacing w:line="242" w:lineRule="auto" w:before="96"/>
        <w:ind w:left="615" w:right="1130" w:firstLine="276"/>
        <w:jc w:val="both"/>
        <w:rPr>
          <w:rFonts w:ascii="Century"/>
          <w:sz w:val="18"/>
        </w:rPr>
      </w:pPr>
      <w:r>
        <w:rPr>
          <w:rFonts w:ascii="Century"/>
          <w:sz w:val="18"/>
        </w:rPr>
        <w:t>Existing</w:t>
      </w:r>
      <w:r>
        <w:rPr>
          <w:rFonts w:ascii="Century"/>
          <w:spacing w:val="-13"/>
          <w:sz w:val="18"/>
        </w:rPr>
        <w:t> </w:t>
      </w:r>
      <w:r>
        <w:rPr>
          <w:rFonts w:ascii="Century"/>
          <w:sz w:val="18"/>
        </w:rPr>
        <w:t>literature</w:t>
      </w:r>
      <w:r>
        <w:rPr>
          <w:rFonts w:ascii="Century"/>
          <w:spacing w:val="-12"/>
          <w:sz w:val="18"/>
        </w:rPr>
        <w:t> </w:t>
      </w:r>
      <w:r>
        <w:rPr>
          <w:rFonts w:ascii="Century"/>
          <w:sz w:val="18"/>
        </w:rPr>
        <w:t>has</w:t>
      </w:r>
      <w:r>
        <w:rPr>
          <w:rFonts w:ascii="Century"/>
          <w:spacing w:val="-13"/>
          <w:sz w:val="18"/>
        </w:rPr>
        <w:t> </w:t>
      </w:r>
      <w:r>
        <w:rPr>
          <w:rFonts w:ascii="Century"/>
          <w:sz w:val="18"/>
        </w:rPr>
        <w:t>focused</w:t>
      </w:r>
      <w:r>
        <w:rPr>
          <w:rFonts w:ascii="Century"/>
          <w:spacing w:val="-12"/>
          <w:sz w:val="18"/>
        </w:rPr>
        <w:t> </w:t>
      </w:r>
      <w:r>
        <w:rPr>
          <w:rFonts w:ascii="Century"/>
          <w:sz w:val="18"/>
        </w:rPr>
        <w:t>on</w:t>
      </w:r>
      <w:r>
        <w:rPr>
          <w:rFonts w:ascii="Century"/>
          <w:spacing w:val="-13"/>
          <w:sz w:val="18"/>
        </w:rPr>
        <w:t> </w:t>
      </w:r>
      <w:r>
        <w:rPr>
          <w:rFonts w:ascii="Century"/>
          <w:sz w:val="18"/>
        </w:rPr>
        <w:t>the</w:t>
      </w:r>
      <w:r>
        <w:rPr>
          <w:rFonts w:ascii="Century"/>
          <w:spacing w:val="-13"/>
          <w:sz w:val="18"/>
        </w:rPr>
        <w:t> </w:t>
      </w:r>
      <w:r>
        <w:rPr>
          <w:rFonts w:ascii="Century"/>
          <w:sz w:val="18"/>
        </w:rPr>
        <w:t>relationship</w:t>
      </w:r>
      <w:r>
        <w:rPr>
          <w:rFonts w:ascii="Century"/>
          <w:spacing w:val="-12"/>
          <w:sz w:val="18"/>
        </w:rPr>
        <w:t> </w:t>
      </w:r>
      <w:r>
        <w:rPr>
          <w:rFonts w:ascii="Century"/>
          <w:sz w:val="18"/>
        </w:rPr>
        <w:t>between</w:t>
      </w:r>
      <w:r>
        <w:rPr>
          <w:rFonts w:ascii="Century"/>
          <w:spacing w:val="-13"/>
          <w:sz w:val="18"/>
        </w:rPr>
        <w:t> </w:t>
      </w:r>
      <w:r>
        <w:rPr>
          <w:rFonts w:ascii="Century"/>
          <w:sz w:val="18"/>
        </w:rPr>
        <w:t>oil</w:t>
      </w:r>
      <w:r>
        <w:rPr>
          <w:rFonts w:ascii="Century"/>
          <w:spacing w:val="-12"/>
          <w:sz w:val="18"/>
        </w:rPr>
        <w:t> </w:t>
      </w:r>
      <w:r>
        <w:rPr>
          <w:rFonts w:ascii="Century"/>
          <w:sz w:val="18"/>
        </w:rPr>
        <w:t>and</w:t>
      </w:r>
      <w:r>
        <w:rPr>
          <w:rFonts w:ascii="Century"/>
          <w:spacing w:val="-13"/>
          <w:sz w:val="18"/>
        </w:rPr>
        <w:t> </w:t>
      </w:r>
      <w:r>
        <w:rPr>
          <w:rFonts w:ascii="Century"/>
          <w:sz w:val="18"/>
        </w:rPr>
        <w:t>conflict.</w:t>
      </w:r>
      <w:r>
        <w:rPr>
          <w:rFonts w:ascii="Century"/>
          <w:spacing w:val="-5"/>
          <w:sz w:val="18"/>
        </w:rPr>
        <w:t> </w:t>
      </w:r>
      <w:r>
        <w:rPr>
          <w:rFonts w:ascii="Century"/>
          <w:sz w:val="18"/>
        </w:rPr>
        <w:t>Yet,</w:t>
      </w:r>
      <w:r>
        <w:rPr>
          <w:rFonts w:ascii="Century"/>
          <w:spacing w:val="-13"/>
          <w:sz w:val="18"/>
        </w:rPr>
        <w:t> </w:t>
      </w:r>
      <w:r>
        <w:rPr>
          <w:rFonts w:ascii="Century"/>
          <w:sz w:val="18"/>
        </w:rPr>
        <w:t>many</w:t>
      </w:r>
      <w:r>
        <w:rPr>
          <w:rFonts w:ascii="Century"/>
          <w:spacing w:val="-12"/>
          <w:sz w:val="18"/>
        </w:rPr>
        <w:t> </w:t>
      </w:r>
      <w:r>
        <w:rPr>
          <w:rFonts w:ascii="Century"/>
          <w:sz w:val="18"/>
        </w:rPr>
        <w:t>of</w:t>
      </w:r>
      <w:r>
        <w:rPr>
          <w:rFonts w:ascii="Century"/>
          <w:spacing w:val="-13"/>
          <w:sz w:val="18"/>
        </w:rPr>
        <w:t> </w:t>
      </w:r>
      <w:r>
        <w:rPr>
          <w:rFonts w:ascii="Century"/>
          <w:sz w:val="18"/>
        </w:rPr>
        <w:t>these </w:t>
      </w:r>
      <w:r>
        <w:rPr>
          <w:rFonts w:ascii="Century"/>
          <w:spacing w:val="-2"/>
          <w:sz w:val="18"/>
        </w:rPr>
        <w:t>studies</w:t>
      </w:r>
      <w:r>
        <w:rPr>
          <w:rFonts w:ascii="Century"/>
          <w:spacing w:val="-11"/>
          <w:sz w:val="18"/>
        </w:rPr>
        <w:t> </w:t>
      </w:r>
      <w:r>
        <w:rPr>
          <w:rFonts w:ascii="Century"/>
          <w:spacing w:val="-2"/>
          <w:sz w:val="18"/>
        </w:rPr>
        <w:t>have</w:t>
      </w:r>
      <w:r>
        <w:rPr>
          <w:rFonts w:ascii="Century"/>
          <w:spacing w:val="-10"/>
          <w:sz w:val="18"/>
        </w:rPr>
        <w:t> </w:t>
      </w:r>
      <w:r>
        <w:rPr>
          <w:rFonts w:ascii="Century"/>
          <w:spacing w:val="-2"/>
          <w:sz w:val="18"/>
        </w:rPr>
        <w:t>failed</w:t>
      </w:r>
      <w:r>
        <w:rPr>
          <w:rFonts w:ascii="Century"/>
          <w:spacing w:val="-11"/>
          <w:sz w:val="18"/>
        </w:rPr>
        <w:t> </w:t>
      </w:r>
      <w:r>
        <w:rPr>
          <w:rFonts w:ascii="Century"/>
          <w:spacing w:val="-2"/>
          <w:sz w:val="18"/>
        </w:rPr>
        <w:t>to</w:t>
      </w:r>
      <w:r>
        <w:rPr>
          <w:rFonts w:ascii="Century"/>
          <w:spacing w:val="-10"/>
          <w:sz w:val="18"/>
        </w:rPr>
        <w:t> </w:t>
      </w:r>
      <w:r>
        <w:rPr>
          <w:rFonts w:ascii="Century"/>
          <w:spacing w:val="-2"/>
          <w:sz w:val="18"/>
        </w:rPr>
        <w:t>study</w:t>
      </w:r>
      <w:r>
        <w:rPr>
          <w:rFonts w:ascii="Century"/>
          <w:spacing w:val="-11"/>
          <w:sz w:val="18"/>
        </w:rPr>
        <w:t> </w:t>
      </w:r>
      <w:r>
        <w:rPr>
          <w:rFonts w:ascii="Century"/>
          <w:spacing w:val="-2"/>
          <w:sz w:val="18"/>
        </w:rPr>
        <w:t>a</w:t>
      </w:r>
      <w:r>
        <w:rPr>
          <w:rFonts w:ascii="Century"/>
          <w:spacing w:val="-11"/>
          <w:sz w:val="18"/>
        </w:rPr>
        <w:t> </w:t>
      </w:r>
      <w:r>
        <w:rPr>
          <w:rFonts w:ascii="Century"/>
          <w:spacing w:val="-2"/>
          <w:sz w:val="18"/>
        </w:rPr>
        <w:t>critical</w:t>
      </w:r>
      <w:r>
        <w:rPr>
          <w:rFonts w:ascii="Century"/>
          <w:spacing w:val="-10"/>
          <w:sz w:val="18"/>
        </w:rPr>
        <w:t> </w:t>
      </w:r>
      <w:r>
        <w:rPr>
          <w:rFonts w:ascii="Century"/>
          <w:spacing w:val="-2"/>
          <w:sz w:val="18"/>
        </w:rPr>
        <w:t>variable</w:t>
      </w:r>
      <w:r>
        <w:rPr>
          <w:rFonts w:ascii="Century"/>
          <w:spacing w:val="-11"/>
          <w:sz w:val="18"/>
        </w:rPr>
        <w:t> </w:t>
      </w:r>
      <w:r>
        <w:rPr>
          <w:rFonts w:ascii="Century"/>
          <w:spacing w:val="-2"/>
          <w:sz w:val="18"/>
        </w:rPr>
        <w:t>mediating</w:t>
      </w:r>
      <w:r>
        <w:rPr>
          <w:rFonts w:ascii="Century"/>
          <w:spacing w:val="-10"/>
          <w:sz w:val="18"/>
        </w:rPr>
        <w:t> </w:t>
      </w:r>
      <w:r>
        <w:rPr>
          <w:rFonts w:ascii="Century"/>
          <w:spacing w:val="-2"/>
          <w:sz w:val="18"/>
        </w:rPr>
        <w:t>the</w:t>
      </w:r>
      <w:r>
        <w:rPr>
          <w:rFonts w:ascii="Century"/>
          <w:spacing w:val="-11"/>
          <w:sz w:val="18"/>
        </w:rPr>
        <w:t> </w:t>
      </w:r>
      <w:r>
        <w:rPr>
          <w:rFonts w:ascii="Century"/>
          <w:spacing w:val="-2"/>
          <w:sz w:val="18"/>
        </w:rPr>
        <w:t>effect</w:t>
      </w:r>
      <w:r>
        <w:rPr>
          <w:rFonts w:ascii="Century"/>
          <w:spacing w:val="-10"/>
          <w:sz w:val="18"/>
        </w:rPr>
        <w:t> </w:t>
      </w:r>
      <w:r>
        <w:rPr>
          <w:rFonts w:ascii="Century"/>
          <w:spacing w:val="-2"/>
          <w:sz w:val="18"/>
        </w:rPr>
        <w:t>that</w:t>
      </w:r>
      <w:r>
        <w:rPr>
          <w:rFonts w:ascii="Century"/>
          <w:spacing w:val="-11"/>
          <w:sz w:val="18"/>
        </w:rPr>
        <w:t> </w:t>
      </w:r>
      <w:r>
        <w:rPr>
          <w:rFonts w:ascii="Century"/>
          <w:spacing w:val="-2"/>
          <w:sz w:val="18"/>
        </w:rPr>
        <w:t>the</w:t>
      </w:r>
      <w:r>
        <w:rPr>
          <w:rFonts w:ascii="Century"/>
          <w:spacing w:val="-10"/>
          <w:sz w:val="18"/>
        </w:rPr>
        <w:t> </w:t>
      </w:r>
      <w:r>
        <w:rPr>
          <w:rFonts w:ascii="Century"/>
          <w:spacing w:val="-2"/>
          <w:sz w:val="18"/>
        </w:rPr>
        <w:t>fluctuating</w:t>
      </w:r>
      <w:r>
        <w:rPr>
          <w:rFonts w:ascii="Century"/>
          <w:spacing w:val="-11"/>
          <w:sz w:val="18"/>
        </w:rPr>
        <w:t> </w:t>
      </w:r>
      <w:r>
        <w:rPr>
          <w:rFonts w:ascii="Century"/>
          <w:spacing w:val="-2"/>
          <w:sz w:val="18"/>
        </w:rPr>
        <w:t>market</w:t>
      </w:r>
      <w:r>
        <w:rPr>
          <w:rFonts w:ascii="Century"/>
          <w:spacing w:val="-10"/>
          <w:sz w:val="18"/>
        </w:rPr>
        <w:t> </w:t>
      </w:r>
      <w:r>
        <w:rPr>
          <w:rFonts w:ascii="Century"/>
          <w:spacing w:val="-2"/>
          <w:sz w:val="18"/>
        </w:rPr>
        <w:t>price </w:t>
      </w:r>
      <w:r>
        <w:rPr>
          <w:rFonts w:ascii="Century"/>
          <w:sz w:val="18"/>
        </w:rPr>
        <w:t>for</w:t>
      </w:r>
      <w:r>
        <w:rPr>
          <w:rFonts w:ascii="Century"/>
          <w:spacing w:val="-9"/>
          <w:sz w:val="18"/>
        </w:rPr>
        <w:t> </w:t>
      </w:r>
      <w:r>
        <w:rPr>
          <w:rFonts w:ascii="Century"/>
          <w:sz w:val="18"/>
        </w:rPr>
        <w:t>oil</w:t>
      </w:r>
      <w:r>
        <w:rPr>
          <w:rFonts w:ascii="Century"/>
          <w:spacing w:val="-9"/>
          <w:sz w:val="18"/>
        </w:rPr>
        <w:t> </w:t>
      </w:r>
      <w:r>
        <w:rPr>
          <w:rFonts w:ascii="Century"/>
          <w:sz w:val="18"/>
        </w:rPr>
        <w:t>has</w:t>
      </w:r>
      <w:r>
        <w:rPr>
          <w:rFonts w:ascii="Century"/>
          <w:spacing w:val="-9"/>
          <w:sz w:val="18"/>
        </w:rPr>
        <w:t> </w:t>
      </w:r>
      <w:r>
        <w:rPr>
          <w:rFonts w:ascii="Century"/>
          <w:sz w:val="18"/>
        </w:rPr>
        <w:t>on</w:t>
      </w:r>
      <w:r>
        <w:rPr>
          <w:rFonts w:ascii="Century"/>
          <w:spacing w:val="-9"/>
          <w:sz w:val="18"/>
        </w:rPr>
        <w:t> </w:t>
      </w:r>
      <w:r>
        <w:rPr>
          <w:rFonts w:ascii="Century"/>
          <w:sz w:val="18"/>
        </w:rPr>
        <w:t>conflict,</w:t>
      </w:r>
      <w:r>
        <w:rPr>
          <w:rFonts w:ascii="Century"/>
          <w:spacing w:val="-8"/>
          <w:sz w:val="18"/>
        </w:rPr>
        <w:t> </w:t>
      </w:r>
      <w:r>
        <w:rPr>
          <w:rFonts w:ascii="Century"/>
          <w:sz w:val="18"/>
        </w:rPr>
        <w:t>particularly</w:t>
      </w:r>
      <w:r>
        <w:rPr>
          <w:rFonts w:ascii="Century"/>
          <w:spacing w:val="-9"/>
          <w:sz w:val="18"/>
        </w:rPr>
        <w:t> </w:t>
      </w:r>
      <w:r>
        <w:rPr>
          <w:rFonts w:ascii="Century"/>
          <w:sz w:val="18"/>
        </w:rPr>
        <w:t>conflict</w:t>
      </w:r>
      <w:r>
        <w:rPr>
          <w:rFonts w:ascii="Century"/>
          <w:spacing w:val="-9"/>
          <w:sz w:val="18"/>
        </w:rPr>
        <w:t> </w:t>
      </w:r>
      <w:r>
        <w:rPr>
          <w:rFonts w:ascii="Century"/>
          <w:sz w:val="18"/>
        </w:rPr>
        <w:t>intensity.</w:t>
      </w:r>
      <w:r>
        <w:rPr>
          <w:rFonts w:ascii="Century"/>
          <w:spacing w:val="11"/>
          <w:sz w:val="18"/>
        </w:rPr>
        <w:t> </w:t>
      </w:r>
      <w:r>
        <w:rPr>
          <w:rFonts w:ascii="Century"/>
          <w:sz w:val="18"/>
        </w:rPr>
        <w:t>We</w:t>
      </w:r>
      <w:r>
        <w:rPr>
          <w:rFonts w:ascii="Century"/>
          <w:spacing w:val="-9"/>
          <w:sz w:val="18"/>
        </w:rPr>
        <w:t> </w:t>
      </w:r>
      <w:r>
        <w:rPr>
          <w:rFonts w:ascii="Century"/>
          <w:sz w:val="18"/>
        </w:rPr>
        <w:t>theorize</w:t>
      </w:r>
      <w:r>
        <w:rPr>
          <w:rFonts w:ascii="Century"/>
          <w:spacing w:val="-9"/>
          <w:sz w:val="18"/>
        </w:rPr>
        <w:t> </w:t>
      </w:r>
      <w:r>
        <w:rPr>
          <w:rFonts w:ascii="Century"/>
          <w:sz w:val="18"/>
        </w:rPr>
        <w:t>that</w:t>
      </w:r>
      <w:r>
        <w:rPr>
          <w:rFonts w:ascii="Century"/>
          <w:spacing w:val="-9"/>
          <w:sz w:val="18"/>
        </w:rPr>
        <w:t> </w:t>
      </w:r>
      <w:r>
        <w:rPr>
          <w:rFonts w:ascii="Century"/>
          <w:sz w:val="18"/>
        </w:rPr>
        <w:t>the</w:t>
      </w:r>
      <w:r>
        <w:rPr>
          <w:rFonts w:ascii="Century"/>
          <w:spacing w:val="-9"/>
          <w:sz w:val="18"/>
        </w:rPr>
        <w:t> </w:t>
      </w:r>
      <w:r>
        <w:rPr>
          <w:rFonts w:ascii="Century"/>
          <w:sz w:val="18"/>
        </w:rPr>
        <w:t>military</w:t>
      </w:r>
      <w:r>
        <w:rPr>
          <w:rFonts w:ascii="Century"/>
          <w:spacing w:val="-9"/>
          <w:sz w:val="18"/>
        </w:rPr>
        <w:t> </w:t>
      </w:r>
      <w:r>
        <w:rPr>
          <w:rFonts w:ascii="Century"/>
          <w:sz w:val="18"/>
        </w:rPr>
        <w:t>capacity</w:t>
      </w:r>
      <w:r>
        <w:rPr>
          <w:rFonts w:ascii="Century"/>
          <w:spacing w:val="-9"/>
          <w:sz w:val="18"/>
        </w:rPr>
        <w:t> </w:t>
      </w:r>
      <w:r>
        <w:rPr>
          <w:rFonts w:ascii="Century"/>
          <w:sz w:val="18"/>
        </w:rPr>
        <w:t>of</w:t>
      </w:r>
      <w:r>
        <w:rPr>
          <w:rFonts w:ascii="Century"/>
          <w:spacing w:val="-9"/>
          <w:sz w:val="18"/>
        </w:rPr>
        <w:t> </w:t>
      </w:r>
      <w:r>
        <w:rPr>
          <w:rFonts w:ascii="Century"/>
          <w:sz w:val="18"/>
        </w:rPr>
        <w:t>the </w:t>
      </w:r>
      <w:r>
        <w:rPr>
          <w:rFonts w:ascii="Century"/>
          <w:spacing w:val="-2"/>
          <w:sz w:val="18"/>
        </w:rPr>
        <w:t>state</w:t>
      </w:r>
      <w:r>
        <w:rPr>
          <w:rFonts w:ascii="Century"/>
          <w:spacing w:val="-11"/>
          <w:sz w:val="18"/>
        </w:rPr>
        <w:t> </w:t>
      </w:r>
      <w:r>
        <w:rPr>
          <w:rFonts w:ascii="Century"/>
          <w:spacing w:val="-2"/>
          <w:sz w:val="18"/>
        </w:rPr>
        <w:t>is</w:t>
      </w:r>
      <w:r>
        <w:rPr>
          <w:rFonts w:ascii="Century"/>
          <w:spacing w:val="-10"/>
          <w:sz w:val="18"/>
        </w:rPr>
        <w:t> </w:t>
      </w:r>
      <w:r>
        <w:rPr>
          <w:rFonts w:ascii="Century"/>
          <w:spacing w:val="-2"/>
          <w:sz w:val="18"/>
        </w:rPr>
        <w:t>a</w:t>
      </w:r>
      <w:r>
        <w:rPr>
          <w:rFonts w:ascii="Century"/>
          <w:spacing w:val="-11"/>
          <w:sz w:val="18"/>
        </w:rPr>
        <w:t> </w:t>
      </w:r>
      <w:r>
        <w:rPr>
          <w:rFonts w:ascii="Century"/>
          <w:spacing w:val="-2"/>
          <w:sz w:val="18"/>
        </w:rPr>
        <w:t>key</w:t>
      </w:r>
      <w:r>
        <w:rPr>
          <w:rFonts w:ascii="Century"/>
          <w:spacing w:val="-10"/>
          <w:sz w:val="18"/>
        </w:rPr>
        <w:t> </w:t>
      </w:r>
      <w:r>
        <w:rPr>
          <w:rFonts w:ascii="Century"/>
          <w:spacing w:val="-2"/>
          <w:sz w:val="18"/>
        </w:rPr>
        <w:t>mediating</w:t>
      </w:r>
      <w:r>
        <w:rPr>
          <w:rFonts w:ascii="Century"/>
          <w:spacing w:val="-11"/>
          <w:sz w:val="18"/>
        </w:rPr>
        <w:t> </w:t>
      </w:r>
      <w:r>
        <w:rPr>
          <w:rFonts w:ascii="Century"/>
          <w:spacing w:val="-2"/>
          <w:sz w:val="18"/>
        </w:rPr>
        <w:t>mechanism</w:t>
      </w:r>
      <w:r>
        <w:rPr>
          <w:rFonts w:ascii="Century"/>
          <w:spacing w:val="-11"/>
          <w:sz w:val="18"/>
        </w:rPr>
        <w:t> </w:t>
      </w:r>
      <w:r>
        <w:rPr>
          <w:rFonts w:ascii="Century"/>
          <w:spacing w:val="-2"/>
          <w:sz w:val="18"/>
        </w:rPr>
        <w:t>for</w:t>
      </w:r>
      <w:r>
        <w:rPr>
          <w:rFonts w:ascii="Century"/>
          <w:spacing w:val="-10"/>
          <w:sz w:val="18"/>
        </w:rPr>
        <w:t> </w:t>
      </w:r>
      <w:r>
        <w:rPr>
          <w:rFonts w:ascii="Century"/>
          <w:spacing w:val="-2"/>
          <w:sz w:val="18"/>
        </w:rPr>
        <w:t>understanding</w:t>
      </w:r>
      <w:r>
        <w:rPr>
          <w:rFonts w:ascii="Century"/>
          <w:spacing w:val="-11"/>
          <w:sz w:val="18"/>
        </w:rPr>
        <w:t> </w:t>
      </w:r>
      <w:r>
        <w:rPr>
          <w:rFonts w:ascii="Century"/>
          <w:spacing w:val="-2"/>
          <w:sz w:val="18"/>
        </w:rPr>
        <w:t>the</w:t>
      </w:r>
      <w:r>
        <w:rPr>
          <w:rFonts w:ascii="Century"/>
          <w:spacing w:val="-10"/>
          <w:sz w:val="18"/>
        </w:rPr>
        <w:t> </w:t>
      </w:r>
      <w:r>
        <w:rPr>
          <w:rFonts w:ascii="Century"/>
          <w:spacing w:val="-2"/>
          <w:sz w:val="18"/>
        </w:rPr>
        <w:t>relationship</w:t>
      </w:r>
      <w:r>
        <w:rPr>
          <w:rFonts w:ascii="Century"/>
          <w:spacing w:val="-11"/>
          <w:sz w:val="18"/>
        </w:rPr>
        <w:t> </w:t>
      </w:r>
      <w:r>
        <w:rPr>
          <w:rFonts w:ascii="Century"/>
          <w:spacing w:val="-2"/>
          <w:sz w:val="18"/>
        </w:rPr>
        <w:t>between</w:t>
      </w:r>
      <w:r>
        <w:rPr>
          <w:rFonts w:ascii="Century"/>
          <w:spacing w:val="-10"/>
          <w:sz w:val="18"/>
        </w:rPr>
        <w:t> </w:t>
      </w:r>
      <w:r>
        <w:rPr>
          <w:rFonts w:ascii="Century"/>
          <w:spacing w:val="-2"/>
          <w:sz w:val="18"/>
        </w:rPr>
        <w:t>shifting</w:t>
      </w:r>
      <w:r>
        <w:rPr>
          <w:rFonts w:ascii="Century"/>
          <w:spacing w:val="-11"/>
          <w:sz w:val="18"/>
        </w:rPr>
        <w:t> </w:t>
      </w:r>
      <w:r>
        <w:rPr>
          <w:rFonts w:ascii="Century"/>
          <w:spacing w:val="-2"/>
          <w:sz w:val="18"/>
        </w:rPr>
        <w:t>oil</w:t>
      </w:r>
      <w:r>
        <w:rPr>
          <w:rFonts w:ascii="Century"/>
          <w:spacing w:val="-10"/>
          <w:sz w:val="18"/>
        </w:rPr>
        <w:t> </w:t>
      </w:r>
      <w:r>
        <w:rPr>
          <w:rFonts w:ascii="Century"/>
          <w:spacing w:val="-2"/>
          <w:sz w:val="18"/>
        </w:rPr>
        <w:t>market </w:t>
      </w:r>
      <w:r>
        <w:rPr>
          <w:rFonts w:ascii="Century"/>
          <w:sz w:val="18"/>
        </w:rPr>
        <w:t>prices</w:t>
      </w:r>
      <w:r>
        <w:rPr>
          <w:rFonts w:ascii="Century"/>
          <w:spacing w:val="-13"/>
          <w:sz w:val="18"/>
        </w:rPr>
        <w:t> </w:t>
      </w:r>
      <w:r>
        <w:rPr>
          <w:rFonts w:ascii="Century"/>
          <w:sz w:val="18"/>
        </w:rPr>
        <w:t>and</w:t>
      </w:r>
      <w:r>
        <w:rPr>
          <w:rFonts w:ascii="Century"/>
          <w:spacing w:val="-12"/>
          <w:sz w:val="18"/>
        </w:rPr>
        <w:t> </w:t>
      </w:r>
      <w:r>
        <w:rPr>
          <w:rFonts w:ascii="Century"/>
          <w:sz w:val="18"/>
        </w:rPr>
        <w:t>conflict</w:t>
      </w:r>
      <w:r>
        <w:rPr>
          <w:rFonts w:ascii="Century"/>
          <w:spacing w:val="-13"/>
          <w:sz w:val="18"/>
        </w:rPr>
        <w:t> </w:t>
      </w:r>
      <w:r>
        <w:rPr>
          <w:rFonts w:ascii="Century"/>
          <w:sz w:val="18"/>
        </w:rPr>
        <w:t>intensity.</w:t>
      </w:r>
      <w:r>
        <w:rPr>
          <w:rFonts w:ascii="Century"/>
          <w:spacing w:val="-5"/>
          <w:sz w:val="18"/>
        </w:rPr>
        <w:t> </w:t>
      </w:r>
      <w:r>
        <w:rPr>
          <w:rFonts w:ascii="Century"/>
          <w:sz w:val="18"/>
        </w:rPr>
        <w:t>We</w:t>
      </w:r>
      <w:r>
        <w:rPr>
          <w:rFonts w:ascii="Century"/>
          <w:spacing w:val="-13"/>
          <w:sz w:val="18"/>
        </w:rPr>
        <w:t> </w:t>
      </w:r>
      <w:r>
        <w:rPr>
          <w:rFonts w:ascii="Century"/>
          <w:sz w:val="18"/>
        </w:rPr>
        <w:t>argue</w:t>
      </w:r>
      <w:r>
        <w:rPr>
          <w:rFonts w:ascii="Century"/>
          <w:spacing w:val="-12"/>
          <w:sz w:val="18"/>
        </w:rPr>
        <w:t> </w:t>
      </w:r>
      <w:r>
        <w:rPr>
          <w:rFonts w:ascii="Century"/>
          <w:sz w:val="18"/>
        </w:rPr>
        <w:t>that</w:t>
      </w:r>
      <w:r>
        <w:rPr>
          <w:rFonts w:ascii="Century"/>
          <w:spacing w:val="-13"/>
          <w:sz w:val="18"/>
        </w:rPr>
        <w:t> </w:t>
      </w:r>
      <w:r>
        <w:rPr>
          <w:rFonts w:ascii="Century"/>
          <w:sz w:val="18"/>
        </w:rPr>
        <w:t>states</w:t>
      </w:r>
      <w:r>
        <w:rPr>
          <w:rFonts w:ascii="Century"/>
          <w:spacing w:val="-12"/>
          <w:sz w:val="18"/>
        </w:rPr>
        <w:t> </w:t>
      </w:r>
      <w:r>
        <w:rPr>
          <w:rFonts w:ascii="Century"/>
          <w:sz w:val="18"/>
        </w:rPr>
        <w:t>which</w:t>
      </w:r>
      <w:r>
        <w:rPr>
          <w:rFonts w:ascii="Century"/>
          <w:spacing w:val="-13"/>
          <w:sz w:val="18"/>
        </w:rPr>
        <w:t> </w:t>
      </w:r>
      <w:r>
        <w:rPr>
          <w:rFonts w:ascii="Century"/>
          <w:sz w:val="18"/>
        </w:rPr>
        <w:t>rely</w:t>
      </w:r>
      <w:r>
        <w:rPr>
          <w:rFonts w:ascii="Century"/>
          <w:spacing w:val="-12"/>
          <w:sz w:val="18"/>
        </w:rPr>
        <w:t> </w:t>
      </w:r>
      <w:r>
        <w:rPr>
          <w:rFonts w:ascii="Century"/>
          <w:sz w:val="18"/>
        </w:rPr>
        <w:t>upon</w:t>
      </w:r>
      <w:r>
        <w:rPr>
          <w:rFonts w:ascii="Century"/>
          <w:spacing w:val="-13"/>
          <w:sz w:val="18"/>
        </w:rPr>
        <w:t> </w:t>
      </w:r>
      <w:r>
        <w:rPr>
          <w:rFonts w:ascii="Century"/>
          <w:sz w:val="18"/>
        </w:rPr>
        <w:t>oil</w:t>
      </w:r>
      <w:r>
        <w:rPr>
          <w:rFonts w:ascii="Century"/>
          <w:spacing w:val="-12"/>
          <w:sz w:val="18"/>
        </w:rPr>
        <w:t> </w:t>
      </w:r>
      <w:r>
        <w:rPr>
          <w:rFonts w:ascii="Century"/>
          <w:sz w:val="18"/>
        </w:rPr>
        <w:t>sales</w:t>
      </w:r>
      <w:r>
        <w:rPr>
          <w:rFonts w:ascii="Century"/>
          <w:spacing w:val="-13"/>
          <w:sz w:val="18"/>
        </w:rPr>
        <w:t> </w:t>
      </w:r>
      <w:r>
        <w:rPr>
          <w:rFonts w:ascii="Century"/>
          <w:sz w:val="18"/>
        </w:rPr>
        <w:t>to</w:t>
      </w:r>
      <w:r>
        <w:rPr>
          <w:rFonts w:ascii="Century"/>
          <w:spacing w:val="-12"/>
          <w:sz w:val="18"/>
        </w:rPr>
        <w:t> </w:t>
      </w:r>
      <w:r>
        <w:rPr>
          <w:rFonts w:ascii="Century"/>
          <w:sz w:val="18"/>
        </w:rPr>
        <w:t>fund</w:t>
      </w:r>
      <w:r>
        <w:rPr>
          <w:rFonts w:ascii="Century"/>
          <w:spacing w:val="-13"/>
          <w:sz w:val="18"/>
        </w:rPr>
        <w:t> </w:t>
      </w:r>
      <w:r>
        <w:rPr>
          <w:rFonts w:ascii="Century"/>
          <w:sz w:val="18"/>
        </w:rPr>
        <w:t>a</w:t>
      </w:r>
      <w:r>
        <w:rPr>
          <w:rFonts w:ascii="Century"/>
          <w:spacing w:val="-12"/>
          <w:sz w:val="18"/>
        </w:rPr>
        <w:t> </w:t>
      </w:r>
      <w:r>
        <w:rPr>
          <w:rFonts w:ascii="Century"/>
          <w:sz w:val="18"/>
        </w:rPr>
        <w:t>large</w:t>
      </w:r>
      <w:r>
        <w:rPr>
          <w:rFonts w:ascii="Century"/>
          <w:spacing w:val="-13"/>
          <w:sz w:val="18"/>
        </w:rPr>
        <w:t> </w:t>
      </w:r>
      <w:r>
        <w:rPr>
          <w:rFonts w:ascii="Century"/>
          <w:sz w:val="18"/>
        </w:rPr>
        <w:t>portion </w:t>
      </w:r>
      <w:r>
        <w:rPr>
          <w:rFonts w:ascii="Century"/>
          <w:spacing w:val="-2"/>
          <w:sz w:val="18"/>
        </w:rPr>
        <w:t>of</w:t>
      </w:r>
      <w:r>
        <w:rPr>
          <w:rFonts w:ascii="Century"/>
          <w:spacing w:val="-11"/>
          <w:sz w:val="18"/>
        </w:rPr>
        <w:t> </w:t>
      </w:r>
      <w:r>
        <w:rPr>
          <w:rFonts w:ascii="Century"/>
          <w:spacing w:val="-2"/>
          <w:sz w:val="18"/>
        </w:rPr>
        <w:t>government</w:t>
      </w:r>
      <w:r>
        <w:rPr>
          <w:rFonts w:ascii="Century"/>
          <w:spacing w:val="-10"/>
          <w:sz w:val="18"/>
        </w:rPr>
        <w:t> </w:t>
      </w:r>
      <w:r>
        <w:rPr>
          <w:rFonts w:ascii="Century"/>
          <w:spacing w:val="-2"/>
          <w:sz w:val="18"/>
        </w:rPr>
        <w:t>spending</w:t>
      </w:r>
      <w:r>
        <w:rPr>
          <w:rFonts w:ascii="Century"/>
          <w:spacing w:val="-11"/>
          <w:sz w:val="18"/>
        </w:rPr>
        <w:t> </w:t>
      </w:r>
      <w:r>
        <w:rPr>
          <w:rFonts w:ascii="Century"/>
          <w:spacing w:val="-2"/>
          <w:sz w:val="18"/>
        </w:rPr>
        <w:t>will</w:t>
      </w:r>
      <w:r>
        <w:rPr>
          <w:rFonts w:ascii="Century"/>
          <w:spacing w:val="-10"/>
          <w:sz w:val="18"/>
        </w:rPr>
        <w:t> </w:t>
      </w:r>
      <w:r>
        <w:rPr>
          <w:rFonts w:ascii="Century"/>
          <w:spacing w:val="-2"/>
          <w:sz w:val="18"/>
        </w:rPr>
        <w:t>have</w:t>
      </w:r>
      <w:r>
        <w:rPr>
          <w:rFonts w:ascii="Century"/>
          <w:spacing w:val="-11"/>
          <w:sz w:val="18"/>
        </w:rPr>
        <w:t> </w:t>
      </w:r>
      <w:r>
        <w:rPr>
          <w:rFonts w:ascii="Century"/>
          <w:spacing w:val="-2"/>
          <w:sz w:val="18"/>
        </w:rPr>
        <w:t>a</w:t>
      </w:r>
      <w:r>
        <w:rPr>
          <w:rFonts w:ascii="Century"/>
          <w:spacing w:val="-11"/>
          <w:sz w:val="18"/>
        </w:rPr>
        <w:t> </w:t>
      </w:r>
      <w:r>
        <w:rPr>
          <w:rFonts w:ascii="Century"/>
          <w:spacing w:val="-2"/>
          <w:sz w:val="18"/>
        </w:rPr>
        <w:t>more</w:t>
      </w:r>
      <w:r>
        <w:rPr>
          <w:rFonts w:ascii="Century"/>
          <w:spacing w:val="-10"/>
          <w:sz w:val="18"/>
        </w:rPr>
        <w:t> </w:t>
      </w:r>
      <w:r>
        <w:rPr>
          <w:rFonts w:ascii="Century"/>
          <w:spacing w:val="-2"/>
          <w:sz w:val="18"/>
        </w:rPr>
        <w:t>difficult</w:t>
      </w:r>
      <w:r>
        <w:rPr>
          <w:rFonts w:ascii="Century"/>
          <w:spacing w:val="-11"/>
          <w:sz w:val="18"/>
        </w:rPr>
        <w:t> </w:t>
      </w:r>
      <w:r>
        <w:rPr>
          <w:rFonts w:ascii="Century"/>
          <w:spacing w:val="-2"/>
          <w:sz w:val="18"/>
        </w:rPr>
        <w:t>time</w:t>
      </w:r>
      <w:r>
        <w:rPr>
          <w:rFonts w:ascii="Century"/>
          <w:spacing w:val="-10"/>
          <w:sz w:val="18"/>
        </w:rPr>
        <w:t> </w:t>
      </w:r>
      <w:r>
        <w:rPr>
          <w:rFonts w:ascii="Century"/>
          <w:spacing w:val="-2"/>
          <w:sz w:val="18"/>
        </w:rPr>
        <w:t>maintaining</w:t>
      </w:r>
      <w:r>
        <w:rPr>
          <w:rFonts w:ascii="Century"/>
          <w:spacing w:val="-11"/>
          <w:sz w:val="18"/>
        </w:rPr>
        <w:t> </w:t>
      </w:r>
      <w:r>
        <w:rPr>
          <w:rFonts w:ascii="Century"/>
          <w:spacing w:val="-2"/>
          <w:sz w:val="18"/>
        </w:rPr>
        <w:t>conflict-reducing</w:t>
      </w:r>
      <w:r>
        <w:rPr>
          <w:rFonts w:ascii="Century"/>
          <w:spacing w:val="-10"/>
          <w:sz w:val="18"/>
        </w:rPr>
        <w:t> </w:t>
      </w:r>
      <w:r>
        <w:rPr>
          <w:rFonts w:ascii="Century"/>
          <w:spacing w:val="-2"/>
          <w:sz w:val="18"/>
        </w:rPr>
        <w:t>state</w:t>
      </w:r>
      <w:r>
        <w:rPr>
          <w:rFonts w:ascii="Century"/>
          <w:spacing w:val="-11"/>
          <w:sz w:val="18"/>
        </w:rPr>
        <w:t> </w:t>
      </w:r>
      <w:r>
        <w:rPr>
          <w:rFonts w:ascii="Century"/>
          <w:spacing w:val="-2"/>
          <w:sz w:val="18"/>
        </w:rPr>
        <w:t>capacity </w:t>
      </w:r>
      <w:r>
        <w:rPr>
          <w:rFonts w:ascii="Century"/>
          <w:sz w:val="18"/>
        </w:rPr>
        <w:t>during</w:t>
      </w:r>
      <w:r>
        <w:rPr>
          <w:rFonts w:ascii="Century"/>
          <w:spacing w:val="-5"/>
          <w:sz w:val="18"/>
        </w:rPr>
        <w:t> </w:t>
      </w:r>
      <w:r>
        <w:rPr>
          <w:rFonts w:ascii="Century"/>
          <w:sz w:val="18"/>
        </w:rPr>
        <w:t>times</w:t>
      </w:r>
      <w:r>
        <w:rPr>
          <w:rFonts w:ascii="Century"/>
          <w:spacing w:val="-5"/>
          <w:sz w:val="18"/>
        </w:rPr>
        <w:t> </w:t>
      </w:r>
      <w:r>
        <w:rPr>
          <w:rFonts w:ascii="Century"/>
          <w:sz w:val="18"/>
        </w:rPr>
        <w:t>in</w:t>
      </w:r>
      <w:r>
        <w:rPr>
          <w:rFonts w:ascii="Century"/>
          <w:spacing w:val="-5"/>
          <w:sz w:val="18"/>
        </w:rPr>
        <w:t> </w:t>
      </w:r>
      <w:r>
        <w:rPr>
          <w:rFonts w:ascii="Century"/>
          <w:sz w:val="18"/>
        </w:rPr>
        <w:t>which</w:t>
      </w:r>
      <w:r>
        <w:rPr>
          <w:rFonts w:ascii="Century"/>
          <w:spacing w:val="-5"/>
          <w:sz w:val="18"/>
        </w:rPr>
        <w:t> </w:t>
      </w:r>
      <w:r>
        <w:rPr>
          <w:rFonts w:ascii="Century"/>
          <w:sz w:val="18"/>
        </w:rPr>
        <w:t>oil</w:t>
      </w:r>
      <w:r>
        <w:rPr>
          <w:rFonts w:ascii="Century"/>
          <w:spacing w:val="-5"/>
          <w:sz w:val="18"/>
        </w:rPr>
        <w:t> </w:t>
      </w:r>
      <w:r>
        <w:rPr>
          <w:rFonts w:ascii="Century"/>
          <w:sz w:val="18"/>
        </w:rPr>
        <w:t>prices</w:t>
      </w:r>
      <w:r>
        <w:rPr>
          <w:rFonts w:ascii="Century"/>
          <w:spacing w:val="-5"/>
          <w:sz w:val="18"/>
        </w:rPr>
        <w:t> </w:t>
      </w:r>
      <w:r>
        <w:rPr>
          <w:rFonts w:ascii="Century"/>
          <w:sz w:val="18"/>
        </w:rPr>
        <w:t>are</w:t>
      </w:r>
      <w:r>
        <w:rPr>
          <w:rFonts w:ascii="Century"/>
          <w:spacing w:val="-5"/>
          <w:sz w:val="18"/>
        </w:rPr>
        <w:t> </w:t>
      </w:r>
      <w:r>
        <w:rPr>
          <w:rFonts w:ascii="Century"/>
          <w:sz w:val="18"/>
        </w:rPr>
        <w:t>below</w:t>
      </w:r>
      <w:r>
        <w:rPr>
          <w:rFonts w:ascii="Century"/>
          <w:spacing w:val="-5"/>
          <w:sz w:val="18"/>
        </w:rPr>
        <w:t> </w:t>
      </w:r>
      <w:r>
        <w:rPr>
          <w:rFonts w:ascii="Century"/>
          <w:sz w:val="18"/>
        </w:rPr>
        <w:t>previously</w:t>
      </w:r>
      <w:r>
        <w:rPr>
          <w:rFonts w:ascii="Century"/>
          <w:spacing w:val="-5"/>
          <w:sz w:val="18"/>
        </w:rPr>
        <w:t> </w:t>
      </w:r>
      <w:r>
        <w:rPr>
          <w:rFonts w:ascii="Century"/>
          <w:sz w:val="18"/>
        </w:rPr>
        <w:t>prevailing</w:t>
      </w:r>
      <w:r>
        <w:rPr>
          <w:rFonts w:ascii="Century"/>
          <w:spacing w:val="-5"/>
          <w:sz w:val="18"/>
        </w:rPr>
        <w:t> </w:t>
      </w:r>
      <w:r>
        <w:rPr>
          <w:rFonts w:ascii="Century"/>
          <w:sz w:val="18"/>
        </w:rPr>
        <w:t>averages</w:t>
      </w:r>
      <w:r>
        <w:rPr>
          <w:rFonts w:ascii="Century"/>
          <w:spacing w:val="-5"/>
          <w:sz w:val="18"/>
        </w:rPr>
        <w:t> </w:t>
      </w:r>
      <w:r>
        <w:rPr>
          <w:rFonts w:ascii="Century"/>
          <w:sz w:val="18"/>
        </w:rPr>
        <w:t>for</w:t>
      </w:r>
      <w:r>
        <w:rPr>
          <w:rFonts w:ascii="Century"/>
          <w:spacing w:val="-5"/>
          <w:sz w:val="18"/>
        </w:rPr>
        <w:t> </w:t>
      </w:r>
      <w:r>
        <w:rPr>
          <w:rFonts w:ascii="Century"/>
          <w:sz w:val="18"/>
        </w:rPr>
        <w:t>extended</w:t>
      </w:r>
      <w:r>
        <w:rPr>
          <w:rFonts w:ascii="Century"/>
          <w:spacing w:val="-5"/>
          <w:sz w:val="18"/>
        </w:rPr>
        <w:t> </w:t>
      </w:r>
      <w:r>
        <w:rPr>
          <w:rFonts w:ascii="Century"/>
          <w:sz w:val="18"/>
        </w:rPr>
        <w:t>lengths</w:t>
      </w:r>
      <w:r>
        <w:rPr>
          <w:rFonts w:ascii="Century"/>
          <w:spacing w:val="-5"/>
          <w:sz w:val="18"/>
        </w:rPr>
        <w:t> </w:t>
      </w:r>
      <w:r>
        <w:rPr>
          <w:rFonts w:ascii="Century"/>
          <w:sz w:val="18"/>
        </w:rPr>
        <w:t>of time.</w:t>
      </w:r>
      <w:r>
        <w:rPr>
          <w:rFonts w:ascii="Century"/>
          <w:spacing w:val="33"/>
          <w:sz w:val="18"/>
        </w:rPr>
        <w:t> </w:t>
      </w:r>
      <w:r>
        <w:rPr>
          <w:rFonts w:ascii="Century"/>
          <w:sz w:val="18"/>
        </w:rPr>
        <w:t>Using</w:t>
      </w:r>
      <w:r>
        <w:rPr>
          <w:rFonts w:ascii="Century"/>
          <w:spacing w:val="-1"/>
          <w:sz w:val="18"/>
        </w:rPr>
        <w:t> </w:t>
      </w:r>
      <w:r>
        <w:rPr>
          <w:rFonts w:ascii="Century"/>
          <w:sz w:val="18"/>
        </w:rPr>
        <w:t>country-year</w:t>
      </w:r>
      <w:r>
        <w:rPr>
          <w:rFonts w:ascii="Century"/>
          <w:spacing w:val="-1"/>
          <w:sz w:val="18"/>
        </w:rPr>
        <w:t> </w:t>
      </w:r>
      <w:r>
        <w:rPr>
          <w:rFonts w:ascii="Century"/>
          <w:sz w:val="18"/>
        </w:rPr>
        <w:t>data</w:t>
      </w:r>
      <w:r>
        <w:rPr>
          <w:rFonts w:ascii="Century"/>
          <w:spacing w:val="-1"/>
          <w:sz w:val="18"/>
        </w:rPr>
        <w:t> </w:t>
      </w:r>
      <w:r>
        <w:rPr>
          <w:rFonts w:ascii="Century"/>
          <w:sz w:val="18"/>
        </w:rPr>
        <w:t>in</w:t>
      </w:r>
      <w:r>
        <w:rPr>
          <w:rFonts w:ascii="Century"/>
          <w:spacing w:val="-1"/>
          <w:sz w:val="18"/>
        </w:rPr>
        <w:t> </w:t>
      </w:r>
      <w:r>
        <w:rPr>
          <w:rFonts w:ascii="Century"/>
          <w:sz w:val="18"/>
        </w:rPr>
        <w:t>67</w:t>
      </w:r>
      <w:r>
        <w:rPr>
          <w:rFonts w:ascii="Century"/>
          <w:spacing w:val="-1"/>
          <w:sz w:val="18"/>
        </w:rPr>
        <w:t> </w:t>
      </w:r>
      <w:r>
        <w:rPr>
          <w:rFonts w:ascii="Century"/>
          <w:sz w:val="18"/>
        </w:rPr>
        <w:t>conflict</w:t>
      </w:r>
      <w:r>
        <w:rPr>
          <w:rFonts w:ascii="Century"/>
          <w:spacing w:val="-1"/>
          <w:sz w:val="18"/>
        </w:rPr>
        <w:t> </w:t>
      </w:r>
      <w:r>
        <w:rPr>
          <w:rFonts w:ascii="Century"/>
          <w:sz w:val="18"/>
        </w:rPr>
        <w:t>states</w:t>
      </w:r>
      <w:r>
        <w:rPr>
          <w:rFonts w:ascii="Century"/>
          <w:spacing w:val="-1"/>
          <w:sz w:val="18"/>
        </w:rPr>
        <w:t> </w:t>
      </w:r>
      <w:r>
        <w:rPr>
          <w:rFonts w:ascii="Century"/>
          <w:sz w:val="18"/>
        </w:rPr>
        <w:t>from</w:t>
      </w:r>
      <w:r>
        <w:rPr>
          <w:rFonts w:ascii="Century"/>
          <w:spacing w:val="-1"/>
          <w:sz w:val="18"/>
        </w:rPr>
        <w:t> </w:t>
      </w:r>
      <w:r>
        <w:rPr>
          <w:rFonts w:ascii="Century"/>
          <w:sz w:val="18"/>
        </w:rPr>
        <w:t>1989-2019, we</w:t>
      </w:r>
      <w:r>
        <w:rPr>
          <w:rFonts w:ascii="Century"/>
          <w:spacing w:val="-1"/>
          <w:sz w:val="18"/>
        </w:rPr>
        <w:t> </w:t>
      </w:r>
      <w:r>
        <w:rPr>
          <w:rFonts w:ascii="Century"/>
          <w:sz w:val="18"/>
        </w:rPr>
        <w:t>find</w:t>
      </w:r>
      <w:r>
        <w:rPr>
          <w:rFonts w:ascii="Century"/>
          <w:spacing w:val="-1"/>
          <w:sz w:val="18"/>
        </w:rPr>
        <w:t> </w:t>
      </w:r>
      <w:r>
        <w:rPr>
          <w:rFonts w:ascii="Century"/>
          <w:sz w:val="18"/>
        </w:rPr>
        <w:t>that</w:t>
      </w:r>
      <w:r>
        <w:rPr>
          <w:rFonts w:ascii="Century"/>
          <w:spacing w:val="-1"/>
          <w:sz w:val="18"/>
        </w:rPr>
        <w:t> </w:t>
      </w:r>
      <w:r>
        <w:rPr>
          <w:rFonts w:ascii="Century"/>
          <w:sz w:val="18"/>
        </w:rPr>
        <w:t>low</w:t>
      </w:r>
      <w:r>
        <w:rPr>
          <w:rFonts w:ascii="Century"/>
          <w:spacing w:val="-1"/>
          <w:sz w:val="18"/>
        </w:rPr>
        <w:t> </w:t>
      </w:r>
      <w:r>
        <w:rPr>
          <w:rFonts w:ascii="Century"/>
          <w:sz w:val="18"/>
        </w:rPr>
        <w:t>average</w:t>
      </w:r>
      <w:r>
        <w:rPr>
          <w:rFonts w:ascii="Century"/>
          <w:spacing w:val="-1"/>
          <w:sz w:val="18"/>
        </w:rPr>
        <w:t> </w:t>
      </w:r>
      <w:r>
        <w:rPr>
          <w:rFonts w:ascii="Century"/>
          <w:sz w:val="18"/>
        </w:rPr>
        <w:t>oil prices</w:t>
      </w:r>
      <w:r>
        <w:rPr>
          <w:rFonts w:ascii="Century"/>
          <w:spacing w:val="-13"/>
          <w:sz w:val="18"/>
        </w:rPr>
        <w:t> </w:t>
      </w:r>
      <w:r>
        <w:rPr>
          <w:rFonts w:ascii="Century"/>
          <w:sz w:val="18"/>
        </w:rPr>
        <w:t>are</w:t>
      </w:r>
      <w:r>
        <w:rPr>
          <w:rFonts w:ascii="Century"/>
          <w:spacing w:val="-12"/>
          <w:sz w:val="18"/>
        </w:rPr>
        <w:t> </w:t>
      </w:r>
      <w:r>
        <w:rPr>
          <w:rFonts w:ascii="Century"/>
          <w:sz w:val="18"/>
        </w:rPr>
        <w:t>associated</w:t>
      </w:r>
      <w:r>
        <w:rPr>
          <w:rFonts w:ascii="Century"/>
          <w:spacing w:val="-13"/>
          <w:sz w:val="18"/>
        </w:rPr>
        <w:t> </w:t>
      </w:r>
      <w:r>
        <w:rPr>
          <w:rFonts w:ascii="Century"/>
          <w:sz w:val="18"/>
        </w:rPr>
        <w:t>with</w:t>
      </w:r>
      <w:r>
        <w:rPr>
          <w:rFonts w:ascii="Century"/>
          <w:spacing w:val="-12"/>
          <w:sz w:val="18"/>
        </w:rPr>
        <w:t> </w:t>
      </w:r>
      <w:r>
        <w:rPr>
          <w:rFonts w:ascii="Century"/>
          <w:sz w:val="18"/>
        </w:rPr>
        <w:t>lower</w:t>
      </w:r>
      <w:r>
        <w:rPr>
          <w:rFonts w:ascii="Century"/>
          <w:spacing w:val="-13"/>
          <w:sz w:val="18"/>
        </w:rPr>
        <w:t> </w:t>
      </w:r>
      <w:r>
        <w:rPr>
          <w:rFonts w:ascii="Century"/>
          <w:sz w:val="18"/>
        </w:rPr>
        <w:t>military</w:t>
      </w:r>
      <w:r>
        <w:rPr>
          <w:rFonts w:ascii="Century"/>
          <w:spacing w:val="-13"/>
          <w:sz w:val="18"/>
        </w:rPr>
        <w:t> </w:t>
      </w:r>
      <w:r>
        <w:rPr>
          <w:rFonts w:ascii="Century"/>
          <w:sz w:val="18"/>
        </w:rPr>
        <w:t>spending</w:t>
      </w:r>
      <w:r>
        <w:rPr>
          <w:rFonts w:ascii="Century"/>
          <w:spacing w:val="-12"/>
          <w:sz w:val="18"/>
        </w:rPr>
        <w:t> </w:t>
      </w:r>
      <w:r>
        <w:rPr>
          <w:rFonts w:ascii="Century"/>
          <w:sz w:val="18"/>
        </w:rPr>
        <w:t>which</w:t>
      </w:r>
      <w:r>
        <w:rPr>
          <w:rFonts w:ascii="Century"/>
          <w:spacing w:val="-13"/>
          <w:sz w:val="18"/>
        </w:rPr>
        <w:t> </w:t>
      </w:r>
      <w:r>
        <w:rPr>
          <w:rFonts w:ascii="Century"/>
          <w:sz w:val="18"/>
        </w:rPr>
        <w:t>in</w:t>
      </w:r>
      <w:r>
        <w:rPr>
          <w:rFonts w:ascii="Century"/>
          <w:spacing w:val="-12"/>
          <w:sz w:val="18"/>
        </w:rPr>
        <w:t> </w:t>
      </w:r>
      <w:r>
        <w:rPr>
          <w:rFonts w:ascii="Century"/>
          <w:sz w:val="18"/>
        </w:rPr>
        <w:t>turn</w:t>
      </w:r>
      <w:r>
        <w:rPr>
          <w:rFonts w:ascii="Century"/>
          <w:spacing w:val="-13"/>
          <w:sz w:val="18"/>
        </w:rPr>
        <w:t> </w:t>
      </w:r>
      <w:r>
        <w:rPr>
          <w:rFonts w:ascii="Century"/>
          <w:sz w:val="18"/>
        </w:rPr>
        <w:t>is</w:t>
      </w:r>
      <w:r>
        <w:rPr>
          <w:rFonts w:ascii="Century"/>
          <w:spacing w:val="-12"/>
          <w:sz w:val="18"/>
        </w:rPr>
        <w:t> </w:t>
      </w:r>
      <w:r>
        <w:rPr>
          <w:rFonts w:ascii="Century"/>
          <w:sz w:val="18"/>
        </w:rPr>
        <w:t>associated</w:t>
      </w:r>
      <w:r>
        <w:rPr>
          <w:rFonts w:ascii="Century"/>
          <w:spacing w:val="-13"/>
          <w:sz w:val="18"/>
        </w:rPr>
        <w:t> </w:t>
      </w:r>
      <w:r>
        <w:rPr>
          <w:rFonts w:ascii="Century"/>
          <w:sz w:val="18"/>
        </w:rPr>
        <w:t>with</w:t>
      </w:r>
      <w:r>
        <w:rPr>
          <w:rFonts w:ascii="Century"/>
          <w:spacing w:val="-12"/>
          <w:sz w:val="18"/>
        </w:rPr>
        <w:t> </w:t>
      </w:r>
      <w:r>
        <w:rPr>
          <w:rFonts w:ascii="Century"/>
          <w:sz w:val="18"/>
        </w:rPr>
        <w:t>higher</w:t>
      </w:r>
      <w:r>
        <w:rPr>
          <w:rFonts w:ascii="Century"/>
          <w:spacing w:val="-13"/>
          <w:sz w:val="18"/>
        </w:rPr>
        <w:t> </w:t>
      </w:r>
      <w:r>
        <w:rPr>
          <w:rFonts w:ascii="Century"/>
          <w:sz w:val="18"/>
        </w:rPr>
        <w:t>rates</w:t>
      </w:r>
      <w:r>
        <w:rPr>
          <w:rFonts w:ascii="Century"/>
          <w:spacing w:val="-12"/>
          <w:sz w:val="18"/>
        </w:rPr>
        <w:t> </w:t>
      </w:r>
      <w:r>
        <w:rPr>
          <w:rFonts w:ascii="Century"/>
          <w:sz w:val="18"/>
        </w:rPr>
        <w:t>of battle fatalities in existing civil conflicts.</w:t>
      </w:r>
    </w:p>
    <w:p>
      <w:pPr>
        <w:pStyle w:val="BodyText"/>
        <w:spacing w:before="9"/>
        <w:rPr>
          <w:rFonts w:ascii="Century"/>
          <w:sz w:val="18"/>
        </w:rPr>
      </w:pPr>
    </w:p>
    <w:p>
      <w:pPr>
        <w:spacing w:before="0"/>
        <w:ind w:left="615" w:right="0" w:firstLine="0"/>
        <w:jc w:val="left"/>
        <w:rPr>
          <w:rFonts w:ascii="Century"/>
          <w:sz w:val="18"/>
        </w:rPr>
      </w:pPr>
      <w:r>
        <w:rPr>
          <w:rFonts w:ascii="Century"/>
          <w:spacing w:val="-2"/>
          <w:sz w:val="18"/>
        </w:rPr>
        <w:t>Keywords:</w:t>
      </w:r>
      <w:r>
        <w:rPr>
          <w:rFonts w:ascii="Century"/>
          <w:spacing w:val="10"/>
          <w:sz w:val="18"/>
        </w:rPr>
        <w:t> </w:t>
      </w:r>
      <w:r>
        <w:rPr>
          <w:rFonts w:ascii="Century"/>
          <w:spacing w:val="-2"/>
          <w:sz w:val="18"/>
        </w:rPr>
        <w:t>Price</w:t>
      </w:r>
      <w:r>
        <w:rPr>
          <w:rFonts w:ascii="Century"/>
          <w:spacing w:val="-6"/>
          <w:sz w:val="18"/>
        </w:rPr>
        <w:t> </w:t>
      </w:r>
      <w:r>
        <w:rPr>
          <w:rFonts w:ascii="Century"/>
          <w:spacing w:val="-2"/>
          <w:sz w:val="18"/>
        </w:rPr>
        <w:t>shocks,</w:t>
      </w:r>
      <w:r>
        <w:rPr>
          <w:rFonts w:ascii="Century"/>
          <w:spacing w:val="-5"/>
          <w:sz w:val="18"/>
        </w:rPr>
        <w:t> </w:t>
      </w:r>
      <w:r>
        <w:rPr>
          <w:rFonts w:ascii="Century"/>
          <w:spacing w:val="-2"/>
          <w:sz w:val="18"/>
        </w:rPr>
        <w:t>Commodities,</w:t>
      </w:r>
      <w:r>
        <w:rPr>
          <w:rFonts w:ascii="Century"/>
          <w:spacing w:val="-5"/>
          <w:sz w:val="18"/>
        </w:rPr>
        <w:t> </w:t>
      </w:r>
      <w:r>
        <w:rPr>
          <w:rFonts w:ascii="Century"/>
          <w:spacing w:val="-2"/>
          <w:sz w:val="18"/>
        </w:rPr>
        <w:t>Military</w:t>
      </w:r>
      <w:r>
        <w:rPr>
          <w:rFonts w:ascii="Century"/>
          <w:spacing w:val="-6"/>
          <w:sz w:val="18"/>
        </w:rPr>
        <w:t> </w:t>
      </w:r>
      <w:r>
        <w:rPr>
          <w:rFonts w:ascii="Century"/>
          <w:spacing w:val="-2"/>
          <w:sz w:val="18"/>
        </w:rPr>
        <w:t>spending,</w:t>
      </w:r>
      <w:r>
        <w:rPr>
          <w:rFonts w:ascii="Century"/>
          <w:spacing w:val="-5"/>
          <w:sz w:val="18"/>
        </w:rPr>
        <w:t> </w:t>
      </w:r>
      <w:r>
        <w:rPr>
          <w:rFonts w:ascii="Century"/>
          <w:spacing w:val="-2"/>
          <w:sz w:val="18"/>
        </w:rPr>
        <w:t>State</w:t>
      </w:r>
      <w:r>
        <w:rPr>
          <w:rFonts w:ascii="Century"/>
          <w:spacing w:val="-5"/>
          <w:sz w:val="18"/>
        </w:rPr>
        <w:t> </w:t>
      </w:r>
      <w:r>
        <w:rPr>
          <w:rFonts w:ascii="Century"/>
          <w:spacing w:val="-2"/>
          <w:sz w:val="18"/>
        </w:rPr>
        <w:t>capacity</w:t>
      </w: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spacing w:before="11"/>
        <w:rPr>
          <w:rFonts w:ascii="Century"/>
          <w:sz w:val="14"/>
        </w:rPr>
      </w:pPr>
      <w:r>
        <w:rPr/>
        <w:pict>
          <v:shape style="position:absolute;margin-left:70.865997pt;margin-top:10.198997pt;width:179.75pt;height:.1pt;mso-position-horizontal-relative:page;mso-position-vertical-relative:paragraph;z-index:-15728640;mso-wrap-distance-left:0;mso-wrap-distance-right:0" id="docshape2" coordorigin="1417,204" coordsize="3595,0" path="m1417,204l5012,204e" filled="false" stroked="true" strokeweight=".398pt" strokecolor="#000000">
            <v:path arrowok="t"/>
            <v:stroke dashstyle="solid"/>
            <w10:wrap type="topAndBottom"/>
          </v:shape>
        </w:pict>
      </w:r>
    </w:p>
    <w:p>
      <w:pPr>
        <w:spacing w:before="10"/>
        <w:ind w:left="117" w:right="631" w:firstLine="221"/>
        <w:jc w:val="both"/>
        <w:rPr>
          <w:rFonts w:ascii="Bookman Old Style" w:hAnsi="Bookman Old Style"/>
          <w:b w:val="0"/>
          <w:sz w:val="16"/>
        </w:rPr>
      </w:pPr>
      <w:r>
        <w:rPr>
          <w:rFonts w:ascii="Cambria" w:hAnsi="Cambria"/>
          <w:position w:val="6"/>
          <w:sz w:val="12"/>
        </w:rPr>
        <w:t>∗</w:t>
      </w:r>
      <w:r>
        <w:rPr>
          <w:rFonts w:ascii="Bookman Old Style" w:hAnsi="Bookman Old Style"/>
          <w:b w:val="0"/>
          <w:sz w:val="16"/>
        </w:rPr>
        <w:t>Ph.D. Candidate, Department of Government and Politics, University of Maryland, College Park MD. Email: </w:t>
      </w:r>
      <w:hyperlink r:id="rId6">
        <w:r>
          <w:rPr>
            <w:rFonts w:ascii="Bookman Old Style" w:hAnsi="Bookman Old Style"/>
            <w:b w:val="0"/>
            <w:spacing w:val="-2"/>
            <w:sz w:val="16"/>
          </w:rPr>
          <w:t>cenglund@umd.edu.</w:t>
        </w:r>
      </w:hyperlink>
    </w:p>
    <w:p>
      <w:pPr>
        <w:spacing w:line="190" w:lineRule="exact" w:before="9"/>
        <w:ind w:left="117" w:right="632" w:firstLine="229"/>
        <w:jc w:val="both"/>
        <w:rPr>
          <w:rFonts w:ascii="Bookman Old Style" w:hAnsi="Bookman Old Style"/>
          <w:b w:val="0"/>
          <w:sz w:val="16"/>
        </w:rPr>
      </w:pPr>
      <w:r>
        <w:rPr>
          <w:rFonts w:ascii="Cambria" w:hAnsi="Cambria"/>
          <w:position w:val="6"/>
          <w:sz w:val="12"/>
        </w:rPr>
        <w:t>†</w:t>
      </w:r>
      <w:r>
        <w:rPr>
          <w:rFonts w:ascii="Bookman Old Style" w:hAnsi="Bookman Old Style"/>
          <w:b w:val="0"/>
          <w:sz w:val="16"/>
        </w:rPr>
        <w:t>Ph.D.</w:t>
      </w:r>
      <w:r>
        <w:rPr>
          <w:rFonts w:ascii="Bookman Old Style" w:hAnsi="Bookman Old Style"/>
          <w:b w:val="0"/>
          <w:spacing w:val="-11"/>
          <w:sz w:val="16"/>
        </w:rPr>
        <w:t> </w:t>
      </w:r>
      <w:r>
        <w:rPr>
          <w:rFonts w:ascii="Bookman Old Style" w:hAnsi="Bookman Old Style"/>
          <w:b w:val="0"/>
          <w:sz w:val="16"/>
        </w:rPr>
        <w:t>Candidate,</w:t>
      </w:r>
      <w:r>
        <w:rPr>
          <w:rFonts w:ascii="Bookman Old Style" w:hAnsi="Bookman Old Style"/>
          <w:b w:val="0"/>
          <w:spacing w:val="-10"/>
          <w:sz w:val="16"/>
        </w:rPr>
        <w:t> </w:t>
      </w:r>
      <w:r>
        <w:rPr>
          <w:rFonts w:ascii="Bookman Old Style" w:hAnsi="Bookman Old Style"/>
          <w:b w:val="0"/>
          <w:sz w:val="16"/>
        </w:rPr>
        <w:t>Department</w:t>
      </w:r>
      <w:r>
        <w:rPr>
          <w:rFonts w:ascii="Bookman Old Style" w:hAnsi="Bookman Old Style"/>
          <w:b w:val="0"/>
          <w:spacing w:val="-11"/>
          <w:sz w:val="16"/>
        </w:rPr>
        <w:t> </w:t>
      </w:r>
      <w:r>
        <w:rPr>
          <w:rFonts w:ascii="Bookman Old Style" w:hAnsi="Bookman Old Style"/>
          <w:b w:val="0"/>
          <w:sz w:val="16"/>
        </w:rPr>
        <w:t>of</w:t>
      </w:r>
      <w:r>
        <w:rPr>
          <w:rFonts w:ascii="Bookman Old Style" w:hAnsi="Bookman Old Style"/>
          <w:b w:val="0"/>
          <w:spacing w:val="-11"/>
          <w:sz w:val="16"/>
        </w:rPr>
        <w:t> </w:t>
      </w:r>
      <w:r>
        <w:rPr>
          <w:rFonts w:ascii="Bookman Old Style" w:hAnsi="Bookman Old Style"/>
          <w:b w:val="0"/>
          <w:sz w:val="16"/>
        </w:rPr>
        <w:t>Government</w:t>
      </w:r>
      <w:r>
        <w:rPr>
          <w:rFonts w:ascii="Bookman Old Style" w:hAnsi="Bookman Old Style"/>
          <w:b w:val="0"/>
          <w:spacing w:val="-11"/>
          <w:sz w:val="16"/>
        </w:rPr>
        <w:t> </w:t>
      </w:r>
      <w:r>
        <w:rPr>
          <w:rFonts w:ascii="Bookman Old Style" w:hAnsi="Bookman Old Style"/>
          <w:b w:val="0"/>
          <w:sz w:val="16"/>
        </w:rPr>
        <w:t>and</w:t>
      </w:r>
      <w:r>
        <w:rPr>
          <w:rFonts w:ascii="Bookman Old Style" w:hAnsi="Bookman Old Style"/>
          <w:b w:val="0"/>
          <w:spacing w:val="-11"/>
          <w:sz w:val="16"/>
        </w:rPr>
        <w:t> </w:t>
      </w:r>
      <w:r>
        <w:rPr>
          <w:rFonts w:ascii="Bookman Old Style" w:hAnsi="Bookman Old Style"/>
          <w:b w:val="0"/>
          <w:sz w:val="16"/>
        </w:rPr>
        <w:t>Politics,</w:t>
      </w:r>
      <w:r>
        <w:rPr>
          <w:rFonts w:ascii="Bookman Old Style" w:hAnsi="Bookman Old Style"/>
          <w:b w:val="0"/>
          <w:spacing w:val="-10"/>
          <w:sz w:val="16"/>
        </w:rPr>
        <w:t> </w:t>
      </w:r>
      <w:r>
        <w:rPr>
          <w:rFonts w:ascii="Bookman Old Style" w:hAnsi="Bookman Old Style"/>
          <w:b w:val="0"/>
          <w:sz w:val="16"/>
        </w:rPr>
        <w:t>University</w:t>
      </w:r>
      <w:r>
        <w:rPr>
          <w:rFonts w:ascii="Bookman Old Style" w:hAnsi="Bookman Old Style"/>
          <w:b w:val="0"/>
          <w:spacing w:val="-11"/>
          <w:sz w:val="16"/>
        </w:rPr>
        <w:t> </w:t>
      </w:r>
      <w:r>
        <w:rPr>
          <w:rFonts w:ascii="Bookman Old Style" w:hAnsi="Bookman Old Style"/>
          <w:b w:val="0"/>
          <w:sz w:val="16"/>
        </w:rPr>
        <w:t>of</w:t>
      </w:r>
      <w:r>
        <w:rPr>
          <w:rFonts w:ascii="Bookman Old Style" w:hAnsi="Bookman Old Style"/>
          <w:b w:val="0"/>
          <w:spacing w:val="-11"/>
          <w:sz w:val="16"/>
        </w:rPr>
        <w:t> </w:t>
      </w:r>
      <w:r>
        <w:rPr>
          <w:rFonts w:ascii="Bookman Old Style" w:hAnsi="Bookman Old Style"/>
          <w:b w:val="0"/>
          <w:sz w:val="16"/>
        </w:rPr>
        <w:t>Maryland,</w:t>
      </w:r>
      <w:r>
        <w:rPr>
          <w:rFonts w:ascii="Bookman Old Style" w:hAnsi="Bookman Old Style"/>
          <w:b w:val="0"/>
          <w:spacing w:val="-10"/>
          <w:sz w:val="16"/>
        </w:rPr>
        <w:t> </w:t>
      </w:r>
      <w:r>
        <w:rPr>
          <w:rFonts w:ascii="Bookman Old Style" w:hAnsi="Bookman Old Style"/>
          <w:b w:val="0"/>
          <w:sz w:val="16"/>
        </w:rPr>
        <w:t>College</w:t>
      </w:r>
      <w:r>
        <w:rPr>
          <w:rFonts w:ascii="Bookman Old Style" w:hAnsi="Bookman Old Style"/>
          <w:b w:val="0"/>
          <w:spacing w:val="-11"/>
          <w:sz w:val="16"/>
        </w:rPr>
        <w:t> </w:t>
      </w:r>
      <w:r>
        <w:rPr>
          <w:rFonts w:ascii="Bookman Old Style" w:hAnsi="Bookman Old Style"/>
          <w:b w:val="0"/>
          <w:sz w:val="16"/>
        </w:rPr>
        <w:t>Park</w:t>
      </w:r>
      <w:r>
        <w:rPr>
          <w:rFonts w:ascii="Bookman Old Style" w:hAnsi="Bookman Old Style"/>
          <w:b w:val="0"/>
          <w:spacing w:val="-11"/>
          <w:sz w:val="16"/>
        </w:rPr>
        <w:t> </w:t>
      </w:r>
      <w:r>
        <w:rPr>
          <w:rFonts w:ascii="Bookman Old Style" w:hAnsi="Bookman Old Style"/>
          <w:b w:val="0"/>
          <w:sz w:val="16"/>
        </w:rPr>
        <w:t>MD.</w:t>
      </w:r>
      <w:r>
        <w:rPr>
          <w:rFonts w:ascii="Bookman Old Style" w:hAnsi="Bookman Old Style"/>
          <w:b w:val="0"/>
          <w:spacing w:val="-11"/>
          <w:sz w:val="16"/>
        </w:rPr>
        <w:t> </w:t>
      </w:r>
      <w:r>
        <w:rPr>
          <w:rFonts w:ascii="Bookman Old Style" w:hAnsi="Bookman Old Style"/>
          <w:b w:val="0"/>
          <w:sz w:val="16"/>
        </w:rPr>
        <w:t>Email:</w:t>
      </w:r>
      <w:r>
        <w:rPr>
          <w:rFonts w:ascii="Bookman Old Style" w:hAnsi="Bookman Old Style"/>
          <w:b w:val="0"/>
          <w:spacing w:val="6"/>
          <w:sz w:val="16"/>
        </w:rPr>
        <w:t> </w:t>
      </w:r>
      <w:r>
        <w:rPr>
          <w:rFonts w:ascii="Bookman Old Style" w:hAnsi="Bookman Old Style"/>
          <w:b w:val="0"/>
          <w:sz w:val="16"/>
        </w:rPr>
        <w:t>tvin- </w:t>
      </w:r>
      <w:hyperlink r:id="rId7">
        <w:r>
          <w:rPr>
            <w:rFonts w:ascii="Bookman Old Style" w:hAnsi="Bookman Old Style"/>
            <w:b w:val="0"/>
            <w:spacing w:val="-2"/>
            <w:sz w:val="16"/>
          </w:rPr>
          <w:t>cen</w:t>
        </w:r>
      </w:hyperlink>
      <w:hyperlink r:id="rId8">
        <w:r>
          <w:rPr>
            <w:rFonts w:ascii="Bookman Old Style" w:hAnsi="Bookman Old Style"/>
            <w:b w:val="0"/>
            <w:spacing w:val="-2"/>
            <w:sz w:val="16"/>
          </w:rPr>
          <w:t>t@umd.edu.</w:t>
        </w:r>
      </w:hyperlink>
    </w:p>
    <w:p>
      <w:pPr>
        <w:spacing w:line="190" w:lineRule="exact" w:before="5"/>
        <w:ind w:left="117" w:right="631" w:firstLine="229"/>
        <w:jc w:val="both"/>
        <w:rPr>
          <w:rFonts w:ascii="Bookman Old Style" w:hAnsi="Bookman Old Style"/>
          <w:b w:val="0"/>
          <w:sz w:val="16"/>
        </w:rPr>
      </w:pPr>
      <w:r>
        <w:rPr>
          <w:rFonts w:ascii="Cambria" w:hAnsi="Cambria"/>
          <w:position w:val="6"/>
          <w:sz w:val="12"/>
        </w:rPr>
        <w:t>‡</w:t>
      </w:r>
      <w:r>
        <w:rPr>
          <w:rFonts w:ascii="Bookman Old Style" w:hAnsi="Bookman Old Style"/>
          <w:b w:val="0"/>
          <w:sz w:val="16"/>
        </w:rPr>
        <w:t>Ph.D.</w:t>
      </w:r>
      <w:r>
        <w:rPr>
          <w:rFonts w:ascii="Bookman Old Style" w:hAnsi="Bookman Old Style"/>
          <w:b w:val="0"/>
          <w:spacing w:val="-3"/>
          <w:sz w:val="16"/>
        </w:rPr>
        <w:t> </w:t>
      </w:r>
      <w:r>
        <w:rPr>
          <w:rFonts w:ascii="Bookman Old Style" w:hAnsi="Bookman Old Style"/>
          <w:b w:val="0"/>
          <w:sz w:val="16"/>
        </w:rPr>
        <w:t>Candidate,</w:t>
      </w:r>
      <w:r>
        <w:rPr>
          <w:rFonts w:ascii="Bookman Old Style" w:hAnsi="Bookman Old Style"/>
          <w:b w:val="0"/>
          <w:spacing w:val="-1"/>
          <w:sz w:val="16"/>
        </w:rPr>
        <w:t> </w:t>
      </w:r>
      <w:r>
        <w:rPr>
          <w:rFonts w:ascii="Bookman Old Style" w:hAnsi="Bookman Old Style"/>
          <w:b w:val="0"/>
          <w:sz w:val="16"/>
        </w:rPr>
        <w:t>Department</w:t>
      </w:r>
      <w:r>
        <w:rPr>
          <w:rFonts w:ascii="Bookman Old Style" w:hAnsi="Bookman Old Style"/>
          <w:b w:val="0"/>
          <w:spacing w:val="-3"/>
          <w:sz w:val="16"/>
        </w:rPr>
        <w:t> </w:t>
      </w:r>
      <w:r>
        <w:rPr>
          <w:rFonts w:ascii="Bookman Old Style" w:hAnsi="Bookman Old Style"/>
          <w:b w:val="0"/>
          <w:sz w:val="16"/>
        </w:rPr>
        <w:t>of</w:t>
      </w:r>
      <w:r>
        <w:rPr>
          <w:rFonts w:ascii="Bookman Old Style" w:hAnsi="Bookman Old Style"/>
          <w:b w:val="0"/>
          <w:spacing w:val="-3"/>
          <w:sz w:val="16"/>
        </w:rPr>
        <w:t> </w:t>
      </w:r>
      <w:r>
        <w:rPr>
          <w:rFonts w:ascii="Bookman Old Style" w:hAnsi="Bookman Old Style"/>
          <w:b w:val="0"/>
          <w:sz w:val="16"/>
        </w:rPr>
        <w:t>Government</w:t>
      </w:r>
      <w:r>
        <w:rPr>
          <w:rFonts w:ascii="Bookman Old Style" w:hAnsi="Bookman Old Style"/>
          <w:b w:val="0"/>
          <w:spacing w:val="-3"/>
          <w:sz w:val="16"/>
        </w:rPr>
        <w:t> </w:t>
      </w:r>
      <w:r>
        <w:rPr>
          <w:rFonts w:ascii="Bookman Old Style" w:hAnsi="Bookman Old Style"/>
          <w:b w:val="0"/>
          <w:sz w:val="16"/>
        </w:rPr>
        <w:t>and</w:t>
      </w:r>
      <w:r>
        <w:rPr>
          <w:rFonts w:ascii="Bookman Old Style" w:hAnsi="Bookman Old Style"/>
          <w:b w:val="0"/>
          <w:spacing w:val="-3"/>
          <w:sz w:val="16"/>
        </w:rPr>
        <w:t> </w:t>
      </w:r>
      <w:r>
        <w:rPr>
          <w:rFonts w:ascii="Bookman Old Style" w:hAnsi="Bookman Old Style"/>
          <w:b w:val="0"/>
          <w:sz w:val="16"/>
        </w:rPr>
        <w:t>Politics,</w:t>
      </w:r>
      <w:r>
        <w:rPr>
          <w:rFonts w:ascii="Bookman Old Style" w:hAnsi="Bookman Old Style"/>
          <w:b w:val="0"/>
          <w:spacing w:val="-1"/>
          <w:sz w:val="16"/>
        </w:rPr>
        <w:t> </w:t>
      </w:r>
      <w:r>
        <w:rPr>
          <w:rFonts w:ascii="Bookman Old Style" w:hAnsi="Bookman Old Style"/>
          <w:b w:val="0"/>
          <w:sz w:val="16"/>
        </w:rPr>
        <w:t>University</w:t>
      </w:r>
      <w:r>
        <w:rPr>
          <w:rFonts w:ascii="Bookman Old Style" w:hAnsi="Bookman Old Style"/>
          <w:b w:val="0"/>
          <w:spacing w:val="-3"/>
          <w:sz w:val="16"/>
        </w:rPr>
        <w:t> </w:t>
      </w:r>
      <w:r>
        <w:rPr>
          <w:rFonts w:ascii="Bookman Old Style" w:hAnsi="Bookman Old Style"/>
          <w:b w:val="0"/>
          <w:sz w:val="16"/>
        </w:rPr>
        <w:t>of</w:t>
      </w:r>
      <w:r>
        <w:rPr>
          <w:rFonts w:ascii="Bookman Old Style" w:hAnsi="Bookman Old Style"/>
          <w:b w:val="0"/>
          <w:spacing w:val="-3"/>
          <w:sz w:val="16"/>
        </w:rPr>
        <w:t> </w:t>
      </w:r>
      <w:r>
        <w:rPr>
          <w:rFonts w:ascii="Bookman Old Style" w:hAnsi="Bookman Old Style"/>
          <w:b w:val="0"/>
          <w:sz w:val="16"/>
        </w:rPr>
        <w:t>Maryland,</w:t>
      </w:r>
      <w:r>
        <w:rPr>
          <w:rFonts w:ascii="Bookman Old Style" w:hAnsi="Bookman Old Style"/>
          <w:b w:val="0"/>
          <w:spacing w:val="-1"/>
          <w:sz w:val="16"/>
        </w:rPr>
        <w:t> </w:t>
      </w:r>
      <w:r>
        <w:rPr>
          <w:rFonts w:ascii="Bookman Old Style" w:hAnsi="Bookman Old Style"/>
          <w:b w:val="0"/>
          <w:sz w:val="16"/>
        </w:rPr>
        <w:t>College</w:t>
      </w:r>
      <w:r>
        <w:rPr>
          <w:rFonts w:ascii="Bookman Old Style" w:hAnsi="Bookman Old Style"/>
          <w:b w:val="0"/>
          <w:spacing w:val="-3"/>
          <w:sz w:val="16"/>
        </w:rPr>
        <w:t> </w:t>
      </w:r>
      <w:r>
        <w:rPr>
          <w:rFonts w:ascii="Bookman Old Style" w:hAnsi="Bookman Old Style"/>
          <w:b w:val="0"/>
          <w:sz w:val="16"/>
        </w:rPr>
        <w:t>Park</w:t>
      </w:r>
      <w:r>
        <w:rPr>
          <w:rFonts w:ascii="Bookman Old Style" w:hAnsi="Bookman Old Style"/>
          <w:b w:val="0"/>
          <w:spacing w:val="-3"/>
          <w:sz w:val="16"/>
        </w:rPr>
        <w:t> </w:t>
      </w:r>
      <w:r>
        <w:rPr>
          <w:rFonts w:ascii="Bookman Old Style" w:hAnsi="Bookman Old Style"/>
          <w:b w:val="0"/>
          <w:sz w:val="16"/>
        </w:rPr>
        <w:t>MD.</w:t>
      </w:r>
      <w:r>
        <w:rPr>
          <w:rFonts w:ascii="Bookman Old Style" w:hAnsi="Bookman Old Style"/>
          <w:b w:val="0"/>
          <w:spacing w:val="-3"/>
          <w:sz w:val="16"/>
        </w:rPr>
        <w:t> </w:t>
      </w:r>
      <w:r>
        <w:rPr>
          <w:rFonts w:ascii="Bookman Old Style" w:hAnsi="Bookman Old Style"/>
          <w:b w:val="0"/>
          <w:sz w:val="16"/>
        </w:rPr>
        <w:t>Email:</w:t>
      </w:r>
      <w:r>
        <w:rPr>
          <w:rFonts w:ascii="Bookman Old Style" w:hAnsi="Bookman Old Style"/>
          <w:b w:val="0"/>
          <w:spacing w:val="20"/>
          <w:sz w:val="16"/>
        </w:rPr>
        <w:t> </w:t>
      </w:r>
      <w:r>
        <w:rPr>
          <w:rFonts w:ascii="Bookman Old Style" w:hAnsi="Bookman Old Style"/>
          <w:b w:val="0"/>
          <w:sz w:val="16"/>
        </w:rPr>
        <w:t>ck- </w:t>
      </w:r>
      <w:hyperlink r:id="rId9">
        <w:r>
          <w:rPr>
            <w:rFonts w:ascii="Bookman Old Style" w:hAnsi="Bookman Old Style"/>
            <w:b w:val="0"/>
            <w:spacing w:val="-2"/>
            <w:sz w:val="16"/>
          </w:rPr>
          <w:t>opc</w:t>
        </w:r>
      </w:hyperlink>
      <w:hyperlink r:id="rId10">
        <w:r>
          <w:rPr>
            <w:rFonts w:ascii="Bookman Old Style" w:hAnsi="Bookman Old Style"/>
            <w:b w:val="0"/>
            <w:spacing w:val="-2"/>
            <w:sz w:val="16"/>
          </w:rPr>
          <w:t>hic@umd.edu.</w:t>
        </w:r>
      </w:hyperlink>
    </w:p>
    <w:p>
      <w:pPr>
        <w:spacing w:line="190" w:lineRule="exact" w:before="5"/>
        <w:ind w:left="117" w:right="632" w:firstLine="229"/>
        <w:jc w:val="both"/>
        <w:rPr>
          <w:rFonts w:ascii="Bookman Old Style" w:hAnsi="Bookman Old Style"/>
          <w:b w:val="0"/>
          <w:sz w:val="16"/>
        </w:rPr>
      </w:pPr>
      <w:r>
        <w:rPr>
          <w:rFonts w:ascii="Cambria" w:hAnsi="Cambria"/>
          <w:position w:val="6"/>
          <w:sz w:val="12"/>
        </w:rPr>
        <w:t>§</w:t>
      </w:r>
      <w:r>
        <w:rPr>
          <w:rFonts w:ascii="Bookman Old Style" w:hAnsi="Bookman Old Style"/>
          <w:b w:val="0"/>
          <w:sz w:val="16"/>
        </w:rPr>
        <w:t>The</w:t>
      </w:r>
      <w:r>
        <w:rPr>
          <w:rFonts w:ascii="Bookman Old Style" w:hAnsi="Bookman Old Style"/>
          <w:b w:val="0"/>
          <w:spacing w:val="-6"/>
          <w:sz w:val="16"/>
        </w:rPr>
        <w:t> </w:t>
      </w:r>
      <w:r>
        <w:rPr>
          <w:rFonts w:ascii="Bookman Old Style" w:hAnsi="Bookman Old Style"/>
          <w:b w:val="0"/>
          <w:sz w:val="16"/>
        </w:rPr>
        <w:t>order</w:t>
      </w:r>
      <w:r>
        <w:rPr>
          <w:rFonts w:ascii="Bookman Old Style" w:hAnsi="Bookman Old Style"/>
          <w:b w:val="0"/>
          <w:spacing w:val="-6"/>
          <w:sz w:val="16"/>
        </w:rPr>
        <w:t> </w:t>
      </w:r>
      <w:r>
        <w:rPr>
          <w:rFonts w:ascii="Bookman Old Style" w:hAnsi="Bookman Old Style"/>
          <w:b w:val="0"/>
          <w:sz w:val="16"/>
        </w:rPr>
        <w:t>of</w:t>
      </w:r>
      <w:r>
        <w:rPr>
          <w:rFonts w:ascii="Bookman Old Style" w:hAnsi="Bookman Old Style"/>
          <w:b w:val="0"/>
          <w:spacing w:val="-6"/>
          <w:sz w:val="16"/>
        </w:rPr>
        <w:t> </w:t>
      </w:r>
      <w:r>
        <w:rPr>
          <w:rFonts w:ascii="Bookman Old Style" w:hAnsi="Bookman Old Style"/>
          <w:b w:val="0"/>
          <w:sz w:val="16"/>
        </w:rPr>
        <w:t>author</w:t>
      </w:r>
      <w:r>
        <w:rPr>
          <w:rFonts w:ascii="Bookman Old Style" w:hAnsi="Bookman Old Style"/>
          <w:b w:val="0"/>
          <w:spacing w:val="-6"/>
          <w:sz w:val="16"/>
        </w:rPr>
        <w:t> </w:t>
      </w:r>
      <w:r>
        <w:rPr>
          <w:rFonts w:ascii="Bookman Old Style" w:hAnsi="Bookman Old Style"/>
          <w:b w:val="0"/>
          <w:sz w:val="16"/>
        </w:rPr>
        <w:t>names</w:t>
      </w:r>
      <w:r>
        <w:rPr>
          <w:rFonts w:ascii="Bookman Old Style" w:hAnsi="Bookman Old Style"/>
          <w:b w:val="0"/>
          <w:spacing w:val="-6"/>
          <w:sz w:val="16"/>
        </w:rPr>
        <w:t> </w:t>
      </w:r>
      <w:r>
        <w:rPr>
          <w:rFonts w:ascii="Bookman Old Style" w:hAnsi="Bookman Old Style"/>
          <w:b w:val="0"/>
          <w:sz w:val="16"/>
        </w:rPr>
        <w:t>does</w:t>
      </w:r>
      <w:r>
        <w:rPr>
          <w:rFonts w:ascii="Bookman Old Style" w:hAnsi="Bookman Old Style"/>
          <w:b w:val="0"/>
          <w:spacing w:val="-7"/>
          <w:sz w:val="16"/>
        </w:rPr>
        <w:t> </w:t>
      </w:r>
      <w:r>
        <w:rPr>
          <w:rFonts w:ascii="Bookman Old Style" w:hAnsi="Bookman Old Style"/>
          <w:b w:val="0"/>
          <w:sz w:val="16"/>
        </w:rPr>
        <w:t>not</w:t>
      </w:r>
      <w:r>
        <w:rPr>
          <w:rFonts w:ascii="Bookman Old Style" w:hAnsi="Bookman Old Style"/>
          <w:b w:val="0"/>
          <w:spacing w:val="-7"/>
          <w:sz w:val="16"/>
        </w:rPr>
        <w:t> </w:t>
      </w:r>
      <w:r>
        <w:rPr>
          <w:rFonts w:ascii="Bookman Old Style" w:hAnsi="Bookman Old Style"/>
          <w:b w:val="0"/>
          <w:sz w:val="16"/>
        </w:rPr>
        <w:t>necessarily</w:t>
      </w:r>
      <w:r>
        <w:rPr>
          <w:rFonts w:ascii="Bookman Old Style" w:hAnsi="Bookman Old Style"/>
          <w:b w:val="0"/>
          <w:spacing w:val="-6"/>
          <w:sz w:val="16"/>
        </w:rPr>
        <w:t> </w:t>
      </w:r>
      <w:r>
        <w:rPr>
          <w:rFonts w:ascii="Bookman Old Style" w:hAnsi="Bookman Old Style"/>
          <w:b w:val="0"/>
          <w:sz w:val="16"/>
        </w:rPr>
        <w:t>indicate</w:t>
      </w:r>
      <w:r>
        <w:rPr>
          <w:rFonts w:ascii="Bookman Old Style" w:hAnsi="Bookman Old Style"/>
          <w:b w:val="0"/>
          <w:spacing w:val="-7"/>
          <w:sz w:val="16"/>
        </w:rPr>
        <w:t> </w:t>
      </w:r>
      <w:r>
        <w:rPr>
          <w:rFonts w:ascii="Bookman Old Style" w:hAnsi="Bookman Old Style"/>
          <w:b w:val="0"/>
          <w:sz w:val="16"/>
        </w:rPr>
        <w:t>level</w:t>
      </w:r>
      <w:r>
        <w:rPr>
          <w:rFonts w:ascii="Bookman Old Style" w:hAnsi="Bookman Old Style"/>
          <w:b w:val="0"/>
          <w:spacing w:val="-7"/>
          <w:sz w:val="16"/>
        </w:rPr>
        <w:t> </w:t>
      </w:r>
      <w:r>
        <w:rPr>
          <w:rFonts w:ascii="Bookman Old Style" w:hAnsi="Bookman Old Style"/>
          <w:b w:val="0"/>
          <w:sz w:val="16"/>
        </w:rPr>
        <w:t>of</w:t>
      </w:r>
      <w:r>
        <w:rPr>
          <w:rFonts w:ascii="Bookman Old Style" w:hAnsi="Bookman Old Style"/>
          <w:b w:val="0"/>
          <w:spacing w:val="-6"/>
          <w:sz w:val="16"/>
        </w:rPr>
        <w:t> </w:t>
      </w:r>
      <w:r>
        <w:rPr>
          <w:rFonts w:ascii="Bookman Old Style" w:hAnsi="Bookman Old Style"/>
          <w:b w:val="0"/>
          <w:sz w:val="16"/>
        </w:rPr>
        <w:t>contribution.</w:t>
      </w:r>
      <w:r>
        <w:rPr>
          <w:rFonts w:ascii="Bookman Old Style" w:hAnsi="Bookman Old Style"/>
          <w:b w:val="0"/>
          <w:spacing w:val="26"/>
          <w:sz w:val="16"/>
        </w:rPr>
        <w:t> </w:t>
      </w:r>
      <w:r>
        <w:rPr>
          <w:rFonts w:ascii="Bookman Old Style" w:hAnsi="Bookman Old Style"/>
          <w:b w:val="0"/>
          <w:sz w:val="16"/>
        </w:rPr>
        <w:t>Please</w:t>
      </w:r>
      <w:r>
        <w:rPr>
          <w:rFonts w:ascii="Bookman Old Style" w:hAnsi="Bookman Old Style"/>
          <w:b w:val="0"/>
          <w:spacing w:val="-7"/>
          <w:sz w:val="16"/>
        </w:rPr>
        <w:t> </w:t>
      </w:r>
      <w:r>
        <w:rPr>
          <w:rFonts w:ascii="Bookman Old Style" w:hAnsi="Bookman Old Style"/>
          <w:b w:val="0"/>
          <w:sz w:val="16"/>
        </w:rPr>
        <w:t>do</w:t>
      </w:r>
      <w:r>
        <w:rPr>
          <w:rFonts w:ascii="Bookman Old Style" w:hAnsi="Bookman Old Style"/>
          <w:b w:val="0"/>
          <w:spacing w:val="-6"/>
          <w:sz w:val="16"/>
        </w:rPr>
        <w:t> </w:t>
      </w:r>
      <w:r>
        <w:rPr>
          <w:rFonts w:ascii="Bookman Old Style" w:hAnsi="Bookman Old Style"/>
          <w:b w:val="0"/>
          <w:sz w:val="16"/>
        </w:rPr>
        <w:t>not</w:t>
      </w:r>
      <w:r>
        <w:rPr>
          <w:rFonts w:ascii="Bookman Old Style" w:hAnsi="Bookman Old Style"/>
          <w:b w:val="0"/>
          <w:spacing w:val="-6"/>
          <w:sz w:val="16"/>
        </w:rPr>
        <w:t> </w:t>
      </w:r>
      <w:r>
        <w:rPr>
          <w:rFonts w:ascii="Bookman Old Style" w:hAnsi="Bookman Old Style"/>
          <w:b w:val="0"/>
          <w:sz w:val="16"/>
        </w:rPr>
        <w:t>distribute</w:t>
      </w:r>
      <w:r>
        <w:rPr>
          <w:rFonts w:ascii="Bookman Old Style" w:hAnsi="Bookman Old Style"/>
          <w:b w:val="0"/>
          <w:spacing w:val="-6"/>
          <w:sz w:val="16"/>
        </w:rPr>
        <w:t> </w:t>
      </w:r>
      <w:r>
        <w:rPr>
          <w:rFonts w:ascii="Bookman Old Style" w:hAnsi="Bookman Old Style"/>
          <w:b w:val="0"/>
          <w:sz w:val="16"/>
        </w:rPr>
        <w:t>this</w:t>
      </w:r>
      <w:r>
        <w:rPr>
          <w:rFonts w:ascii="Bookman Old Style" w:hAnsi="Bookman Old Style"/>
          <w:b w:val="0"/>
          <w:spacing w:val="-7"/>
          <w:sz w:val="16"/>
        </w:rPr>
        <w:t> </w:t>
      </w:r>
      <w:r>
        <w:rPr>
          <w:rFonts w:ascii="Bookman Old Style" w:hAnsi="Bookman Old Style"/>
          <w:b w:val="0"/>
          <w:sz w:val="16"/>
        </w:rPr>
        <w:t>draft </w:t>
      </w:r>
      <w:r>
        <w:rPr>
          <w:rFonts w:ascii="Bookman Old Style" w:hAnsi="Bookman Old Style"/>
          <w:b w:val="0"/>
          <w:spacing w:val="-4"/>
          <w:sz w:val="16"/>
        </w:rPr>
        <w:t>without explicit permission.</w:t>
      </w:r>
      <w:r>
        <w:rPr>
          <w:rFonts w:ascii="Bookman Old Style" w:hAnsi="Bookman Old Style"/>
          <w:b w:val="0"/>
          <w:spacing w:val="13"/>
          <w:sz w:val="16"/>
        </w:rPr>
        <w:t> </w:t>
      </w:r>
      <w:r>
        <w:rPr>
          <w:rFonts w:ascii="Bookman Old Style" w:hAnsi="Bookman Old Style"/>
          <w:b w:val="0"/>
          <w:spacing w:val="-4"/>
          <w:sz w:val="16"/>
        </w:rPr>
        <w:t>The authors report there are no competing interests to declare.</w:t>
      </w:r>
      <w:r>
        <w:rPr>
          <w:rFonts w:ascii="Bookman Old Style" w:hAnsi="Bookman Old Style"/>
          <w:b w:val="0"/>
          <w:spacing w:val="13"/>
          <w:sz w:val="16"/>
        </w:rPr>
        <w:t> </w:t>
      </w:r>
      <w:r>
        <w:rPr>
          <w:rFonts w:ascii="Bookman Old Style" w:hAnsi="Bookman Old Style"/>
          <w:b w:val="0"/>
          <w:spacing w:val="-4"/>
          <w:sz w:val="16"/>
        </w:rPr>
        <w:t>Replication data is available upon</w:t>
      </w:r>
      <w:r>
        <w:rPr>
          <w:rFonts w:ascii="Bookman Old Style" w:hAnsi="Bookman Old Style"/>
          <w:b w:val="0"/>
          <w:spacing w:val="-9"/>
          <w:sz w:val="16"/>
        </w:rPr>
        <w:t> </w:t>
      </w:r>
      <w:r>
        <w:rPr>
          <w:rFonts w:ascii="Bookman Old Style" w:hAnsi="Bookman Old Style"/>
          <w:b w:val="0"/>
          <w:spacing w:val="-4"/>
          <w:sz w:val="16"/>
        </w:rPr>
        <w:t>request.</w:t>
      </w:r>
      <w:r>
        <w:rPr>
          <w:rFonts w:ascii="Bookman Old Style" w:hAnsi="Bookman Old Style"/>
          <w:b w:val="0"/>
          <w:sz w:val="16"/>
        </w:rPr>
        <w:t> </w:t>
      </w:r>
      <w:r>
        <w:rPr>
          <w:rFonts w:ascii="Bookman Old Style" w:hAnsi="Bookman Old Style"/>
          <w:b w:val="0"/>
          <w:spacing w:val="-4"/>
          <w:sz w:val="16"/>
        </w:rPr>
        <w:t>The</w:t>
      </w:r>
      <w:r>
        <w:rPr>
          <w:rFonts w:ascii="Bookman Old Style" w:hAnsi="Bookman Old Style"/>
          <w:b w:val="0"/>
          <w:spacing w:val="-8"/>
          <w:sz w:val="16"/>
        </w:rPr>
        <w:t> </w:t>
      </w:r>
      <w:r>
        <w:rPr>
          <w:rFonts w:ascii="Bookman Old Style" w:hAnsi="Bookman Old Style"/>
          <w:b w:val="0"/>
          <w:spacing w:val="-4"/>
          <w:sz w:val="16"/>
        </w:rPr>
        <w:t>authors</w:t>
      </w:r>
      <w:r>
        <w:rPr>
          <w:rFonts w:ascii="Bookman Old Style" w:hAnsi="Bookman Old Style"/>
          <w:b w:val="0"/>
          <w:spacing w:val="-9"/>
          <w:sz w:val="16"/>
        </w:rPr>
        <w:t> </w:t>
      </w:r>
      <w:r>
        <w:rPr>
          <w:rFonts w:ascii="Bookman Old Style" w:hAnsi="Bookman Old Style"/>
          <w:b w:val="0"/>
          <w:spacing w:val="-4"/>
          <w:sz w:val="16"/>
        </w:rPr>
        <w:t>would</w:t>
      </w:r>
      <w:r>
        <w:rPr>
          <w:rFonts w:ascii="Bookman Old Style" w:hAnsi="Bookman Old Style"/>
          <w:b w:val="0"/>
          <w:spacing w:val="-9"/>
          <w:sz w:val="16"/>
        </w:rPr>
        <w:t> </w:t>
      </w:r>
      <w:r>
        <w:rPr>
          <w:rFonts w:ascii="Bookman Old Style" w:hAnsi="Bookman Old Style"/>
          <w:b w:val="0"/>
          <w:spacing w:val="-4"/>
          <w:sz w:val="16"/>
        </w:rPr>
        <w:t>like</w:t>
      </w:r>
      <w:r>
        <w:rPr>
          <w:rFonts w:ascii="Bookman Old Style" w:hAnsi="Bookman Old Style"/>
          <w:b w:val="0"/>
          <w:spacing w:val="-9"/>
          <w:sz w:val="16"/>
        </w:rPr>
        <w:t> </w:t>
      </w:r>
      <w:r>
        <w:rPr>
          <w:rFonts w:ascii="Bookman Old Style" w:hAnsi="Bookman Old Style"/>
          <w:b w:val="0"/>
          <w:spacing w:val="-4"/>
          <w:sz w:val="16"/>
        </w:rPr>
        <w:t>to</w:t>
      </w:r>
      <w:r>
        <w:rPr>
          <w:rFonts w:ascii="Bookman Old Style" w:hAnsi="Bookman Old Style"/>
          <w:b w:val="0"/>
          <w:spacing w:val="-8"/>
          <w:sz w:val="16"/>
        </w:rPr>
        <w:t> </w:t>
      </w:r>
      <w:r>
        <w:rPr>
          <w:rFonts w:ascii="Bookman Old Style" w:hAnsi="Bookman Old Style"/>
          <w:b w:val="0"/>
          <w:spacing w:val="-4"/>
          <w:sz w:val="16"/>
        </w:rPr>
        <w:t>thank</w:t>
      </w:r>
      <w:r>
        <w:rPr>
          <w:rFonts w:ascii="Bookman Old Style" w:hAnsi="Bookman Old Style"/>
          <w:b w:val="0"/>
          <w:spacing w:val="-9"/>
          <w:sz w:val="16"/>
        </w:rPr>
        <w:t> </w:t>
      </w:r>
      <w:r>
        <w:rPr>
          <w:rFonts w:ascii="Bookman Old Style" w:hAnsi="Bookman Old Style"/>
          <w:b w:val="0"/>
          <w:spacing w:val="-4"/>
          <w:sz w:val="16"/>
        </w:rPr>
        <w:t>Paul</w:t>
      </w:r>
      <w:r>
        <w:rPr>
          <w:rFonts w:ascii="Bookman Old Style" w:hAnsi="Bookman Old Style"/>
          <w:b w:val="0"/>
          <w:spacing w:val="-9"/>
          <w:sz w:val="16"/>
        </w:rPr>
        <w:t> </w:t>
      </w:r>
      <w:r>
        <w:rPr>
          <w:rFonts w:ascii="Bookman Old Style" w:hAnsi="Bookman Old Style"/>
          <w:b w:val="0"/>
          <w:spacing w:val="-4"/>
          <w:sz w:val="16"/>
        </w:rPr>
        <w:t>Huth</w:t>
      </w:r>
      <w:r>
        <w:rPr>
          <w:rFonts w:ascii="Bookman Old Style" w:hAnsi="Bookman Old Style"/>
          <w:b w:val="0"/>
          <w:spacing w:val="-9"/>
          <w:sz w:val="16"/>
        </w:rPr>
        <w:t> </w:t>
      </w:r>
      <w:r>
        <w:rPr>
          <w:rFonts w:ascii="Bookman Old Style" w:hAnsi="Bookman Old Style"/>
          <w:b w:val="0"/>
          <w:spacing w:val="-4"/>
          <w:sz w:val="16"/>
        </w:rPr>
        <w:t>and</w:t>
      </w:r>
      <w:r>
        <w:rPr>
          <w:rFonts w:ascii="Bookman Old Style" w:hAnsi="Bookman Old Style"/>
          <w:b w:val="0"/>
          <w:spacing w:val="-9"/>
          <w:sz w:val="16"/>
        </w:rPr>
        <w:t> </w:t>
      </w:r>
      <w:r>
        <w:rPr>
          <w:rFonts w:ascii="Bookman Old Style" w:hAnsi="Bookman Old Style"/>
          <w:b w:val="0"/>
          <w:spacing w:val="-4"/>
          <w:sz w:val="16"/>
        </w:rPr>
        <w:t>all</w:t>
      </w:r>
      <w:r>
        <w:rPr>
          <w:rFonts w:ascii="Bookman Old Style" w:hAnsi="Bookman Old Style"/>
          <w:b w:val="0"/>
          <w:spacing w:val="-8"/>
          <w:sz w:val="16"/>
        </w:rPr>
        <w:t> </w:t>
      </w:r>
      <w:r>
        <w:rPr>
          <w:rFonts w:ascii="Bookman Old Style" w:hAnsi="Bookman Old Style"/>
          <w:b w:val="0"/>
          <w:spacing w:val="-4"/>
          <w:sz w:val="16"/>
        </w:rPr>
        <w:t>others</w:t>
      </w:r>
      <w:r>
        <w:rPr>
          <w:rFonts w:ascii="Bookman Old Style" w:hAnsi="Bookman Old Style"/>
          <w:b w:val="0"/>
          <w:spacing w:val="-9"/>
          <w:sz w:val="16"/>
        </w:rPr>
        <w:t> </w:t>
      </w:r>
      <w:r>
        <w:rPr>
          <w:rFonts w:ascii="Bookman Old Style" w:hAnsi="Bookman Old Style"/>
          <w:b w:val="0"/>
          <w:spacing w:val="-4"/>
          <w:sz w:val="16"/>
        </w:rPr>
        <w:t>who</w:t>
      </w:r>
      <w:r>
        <w:rPr>
          <w:rFonts w:ascii="Bookman Old Style" w:hAnsi="Bookman Old Style"/>
          <w:b w:val="0"/>
          <w:spacing w:val="-9"/>
          <w:sz w:val="16"/>
        </w:rPr>
        <w:t> </w:t>
      </w:r>
      <w:r>
        <w:rPr>
          <w:rFonts w:ascii="Bookman Old Style" w:hAnsi="Bookman Old Style"/>
          <w:b w:val="0"/>
          <w:spacing w:val="-4"/>
          <w:sz w:val="16"/>
        </w:rPr>
        <w:t>graciously</w:t>
      </w:r>
      <w:r>
        <w:rPr>
          <w:rFonts w:ascii="Bookman Old Style" w:hAnsi="Bookman Old Style"/>
          <w:b w:val="0"/>
          <w:spacing w:val="-9"/>
          <w:sz w:val="16"/>
        </w:rPr>
        <w:t> </w:t>
      </w:r>
      <w:r>
        <w:rPr>
          <w:rFonts w:ascii="Bookman Old Style" w:hAnsi="Bookman Old Style"/>
          <w:b w:val="0"/>
          <w:spacing w:val="-4"/>
          <w:sz w:val="16"/>
        </w:rPr>
        <w:t>provided</w:t>
      </w:r>
      <w:r>
        <w:rPr>
          <w:rFonts w:ascii="Bookman Old Style" w:hAnsi="Bookman Old Style"/>
          <w:b w:val="0"/>
          <w:spacing w:val="-9"/>
          <w:sz w:val="16"/>
        </w:rPr>
        <w:t> </w:t>
      </w:r>
      <w:r>
        <w:rPr>
          <w:rFonts w:ascii="Bookman Old Style" w:hAnsi="Bookman Old Style"/>
          <w:b w:val="0"/>
          <w:spacing w:val="-4"/>
          <w:sz w:val="16"/>
        </w:rPr>
        <w:t>feedback</w:t>
      </w:r>
      <w:r>
        <w:rPr>
          <w:rFonts w:ascii="Bookman Old Style" w:hAnsi="Bookman Old Style"/>
          <w:b w:val="0"/>
          <w:spacing w:val="-8"/>
          <w:sz w:val="16"/>
        </w:rPr>
        <w:t> </w:t>
      </w:r>
      <w:r>
        <w:rPr>
          <w:rFonts w:ascii="Bookman Old Style" w:hAnsi="Bookman Old Style"/>
          <w:b w:val="0"/>
          <w:spacing w:val="-4"/>
          <w:sz w:val="16"/>
        </w:rPr>
        <w:t>for</w:t>
      </w:r>
      <w:r>
        <w:rPr>
          <w:rFonts w:ascii="Bookman Old Style" w:hAnsi="Bookman Old Style"/>
          <w:b w:val="0"/>
          <w:spacing w:val="-9"/>
          <w:sz w:val="16"/>
        </w:rPr>
        <w:t> </w:t>
      </w:r>
      <w:r>
        <w:rPr>
          <w:rFonts w:ascii="Bookman Old Style" w:hAnsi="Bookman Old Style"/>
          <w:b w:val="0"/>
          <w:spacing w:val="-4"/>
          <w:sz w:val="16"/>
        </w:rPr>
        <w:t>this</w:t>
      </w:r>
      <w:r>
        <w:rPr>
          <w:rFonts w:ascii="Bookman Old Style" w:hAnsi="Bookman Old Style"/>
          <w:b w:val="0"/>
          <w:spacing w:val="-9"/>
          <w:sz w:val="16"/>
        </w:rPr>
        <w:t> </w:t>
      </w:r>
      <w:r>
        <w:rPr>
          <w:rFonts w:ascii="Bookman Old Style" w:hAnsi="Bookman Old Style"/>
          <w:b w:val="0"/>
          <w:spacing w:val="-4"/>
          <w:sz w:val="16"/>
        </w:rPr>
        <w:t>paper.</w:t>
      </w:r>
    </w:p>
    <w:p>
      <w:pPr>
        <w:spacing w:after="0" w:line="190" w:lineRule="exact"/>
        <w:jc w:val="both"/>
        <w:rPr>
          <w:rFonts w:ascii="Bookman Old Style" w:hAnsi="Bookman Old Style"/>
          <w:sz w:val="16"/>
        </w:rPr>
        <w:sectPr>
          <w:footerReference w:type="default" r:id="rId5"/>
          <w:type w:val="continuous"/>
          <w:pgSz w:w="12240" w:h="15840"/>
          <w:pgMar w:footer="1252" w:header="0" w:top="1820" w:bottom="1440" w:left="1300" w:right="1200"/>
          <w:pgNumType w:start="1"/>
        </w:sectPr>
      </w:pPr>
    </w:p>
    <w:p>
      <w:pPr>
        <w:pStyle w:val="Heading1"/>
        <w:numPr>
          <w:ilvl w:val="0"/>
          <w:numId w:val="1"/>
        </w:numPr>
        <w:tabs>
          <w:tab w:pos="601" w:val="left" w:leader="none"/>
          <w:tab w:pos="602" w:val="left" w:leader="none"/>
        </w:tabs>
        <w:spacing w:line="240" w:lineRule="auto" w:before="36" w:after="0"/>
        <w:ind w:left="601" w:right="0" w:hanging="485"/>
        <w:jc w:val="left"/>
      </w:pPr>
      <w:r>
        <w:rPr>
          <w:spacing w:val="-2"/>
        </w:rPr>
        <w:t>Introduction</w:t>
      </w:r>
    </w:p>
    <w:p>
      <w:pPr>
        <w:pStyle w:val="BodyText"/>
        <w:spacing w:line="312" w:lineRule="auto" w:before="251"/>
        <w:ind w:left="117" w:right="632" w:firstLine="298"/>
        <w:jc w:val="both"/>
      </w:pPr>
      <w:r>
        <w:rPr/>
        <w:t>The</w:t>
      </w:r>
      <w:r>
        <w:rPr>
          <w:spacing w:val="-11"/>
        </w:rPr>
        <w:t> </w:t>
      </w:r>
      <w:r>
        <w:rPr/>
        <w:t>relationship</w:t>
      </w:r>
      <w:r>
        <w:rPr>
          <w:spacing w:val="-11"/>
        </w:rPr>
        <w:t> </w:t>
      </w:r>
      <w:r>
        <w:rPr/>
        <w:t>between</w:t>
      </w:r>
      <w:r>
        <w:rPr>
          <w:spacing w:val="-11"/>
        </w:rPr>
        <w:t> </w:t>
      </w:r>
      <w:r>
        <w:rPr/>
        <w:t>oil</w:t>
      </w:r>
      <w:r>
        <w:rPr>
          <w:spacing w:val="-11"/>
        </w:rPr>
        <w:t> </w:t>
      </w:r>
      <w:r>
        <w:rPr/>
        <w:t>and</w:t>
      </w:r>
      <w:r>
        <w:rPr>
          <w:spacing w:val="-11"/>
        </w:rPr>
        <w:t> </w:t>
      </w:r>
      <w:r>
        <w:rPr/>
        <w:t>conflict</w:t>
      </w:r>
      <w:r>
        <w:rPr>
          <w:spacing w:val="-11"/>
        </w:rPr>
        <w:t> </w:t>
      </w:r>
      <w:r>
        <w:rPr/>
        <w:t>is</w:t>
      </w:r>
      <w:r>
        <w:rPr>
          <w:spacing w:val="-11"/>
        </w:rPr>
        <w:t> </w:t>
      </w:r>
      <w:r>
        <w:rPr/>
        <w:t>one</w:t>
      </w:r>
      <w:r>
        <w:rPr>
          <w:spacing w:val="-11"/>
        </w:rPr>
        <w:t> </w:t>
      </w:r>
      <w:r>
        <w:rPr/>
        <w:t>which</w:t>
      </w:r>
      <w:r>
        <w:rPr>
          <w:spacing w:val="-11"/>
        </w:rPr>
        <w:t> </w:t>
      </w:r>
      <w:r>
        <w:rPr/>
        <w:t>has</w:t>
      </w:r>
      <w:r>
        <w:rPr>
          <w:spacing w:val="-11"/>
        </w:rPr>
        <w:t> </w:t>
      </w:r>
      <w:r>
        <w:rPr/>
        <w:t>given</w:t>
      </w:r>
      <w:r>
        <w:rPr>
          <w:spacing w:val="-11"/>
        </w:rPr>
        <w:t> </w:t>
      </w:r>
      <w:r>
        <w:rPr/>
        <w:t>rise</w:t>
      </w:r>
      <w:r>
        <w:rPr>
          <w:spacing w:val="-11"/>
        </w:rPr>
        <w:t> </w:t>
      </w:r>
      <w:r>
        <w:rPr/>
        <w:t>to</w:t>
      </w:r>
      <w:r>
        <w:rPr>
          <w:spacing w:val="-11"/>
        </w:rPr>
        <w:t> </w:t>
      </w:r>
      <w:r>
        <w:rPr/>
        <w:t>broad</w:t>
      </w:r>
      <w:r>
        <w:rPr>
          <w:spacing w:val="-11"/>
        </w:rPr>
        <w:t> </w:t>
      </w:r>
      <w:r>
        <w:rPr/>
        <w:t>scholarly</w:t>
      </w:r>
      <w:r>
        <w:rPr>
          <w:spacing w:val="-11"/>
        </w:rPr>
        <w:t> </w:t>
      </w:r>
      <w:r>
        <w:rPr/>
        <w:t>interest.</w:t>
      </w:r>
      <w:r>
        <w:rPr>
          <w:spacing w:val="5"/>
        </w:rPr>
        <w:t> </w:t>
      </w:r>
      <w:r>
        <w:rPr/>
        <w:t>One identified</w:t>
      </w:r>
      <w:r>
        <w:rPr>
          <w:spacing w:val="-2"/>
        </w:rPr>
        <w:t> </w:t>
      </w:r>
      <w:r>
        <w:rPr/>
        <w:t>component</w:t>
      </w:r>
      <w:r>
        <w:rPr>
          <w:spacing w:val="-2"/>
        </w:rPr>
        <w:t> </w:t>
      </w:r>
      <w:r>
        <w:rPr/>
        <w:t>of</w:t>
      </w:r>
      <w:r>
        <w:rPr>
          <w:spacing w:val="-2"/>
        </w:rPr>
        <w:t> </w:t>
      </w:r>
      <w:r>
        <w:rPr/>
        <w:t>this</w:t>
      </w:r>
      <w:r>
        <w:rPr>
          <w:spacing w:val="-2"/>
        </w:rPr>
        <w:t> </w:t>
      </w:r>
      <w:r>
        <w:rPr/>
        <w:t>relationship</w:t>
      </w:r>
      <w:r>
        <w:rPr>
          <w:spacing w:val="-2"/>
        </w:rPr>
        <w:t> </w:t>
      </w:r>
      <w:r>
        <w:rPr/>
        <w:t>is</w:t>
      </w:r>
      <w:r>
        <w:rPr>
          <w:spacing w:val="-2"/>
        </w:rPr>
        <w:t> </w:t>
      </w:r>
      <w:r>
        <w:rPr/>
        <w:t>an</w:t>
      </w:r>
      <w:r>
        <w:rPr>
          <w:spacing w:val="-2"/>
        </w:rPr>
        <w:t> </w:t>
      </w:r>
      <w:r>
        <w:rPr/>
        <w:t>increased</w:t>
      </w:r>
      <w:r>
        <w:rPr>
          <w:spacing w:val="-2"/>
        </w:rPr>
        <w:t> </w:t>
      </w:r>
      <w:r>
        <w:rPr/>
        <w:t>risk</w:t>
      </w:r>
      <w:r>
        <w:rPr>
          <w:spacing w:val="-2"/>
        </w:rPr>
        <w:t> </w:t>
      </w:r>
      <w:r>
        <w:rPr/>
        <w:t>of</w:t>
      </w:r>
      <w:r>
        <w:rPr>
          <w:spacing w:val="-2"/>
        </w:rPr>
        <w:t> </w:t>
      </w:r>
      <w:r>
        <w:rPr/>
        <w:t>intrastate</w:t>
      </w:r>
      <w:r>
        <w:rPr>
          <w:spacing w:val="-2"/>
        </w:rPr>
        <w:t> </w:t>
      </w:r>
      <w:r>
        <w:rPr/>
        <w:t>conflict</w:t>
      </w:r>
      <w:r>
        <w:rPr>
          <w:spacing w:val="-2"/>
        </w:rPr>
        <w:t> </w:t>
      </w:r>
      <w:r>
        <w:rPr/>
        <w:t>in</w:t>
      </w:r>
      <w:r>
        <w:rPr>
          <w:spacing w:val="-2"/>
        </w:rPr>
        <w:t> </w:t>
      </w:r>
      <w:r>
        <w:rPr/>
        <w:t>oil</w:t>
      </w:r>
      <w:r>
        <w:rPr>
          <w:spacing w:val="-2"/>
        </w:rPr>
        <w:t> </w:t>
      </w:r>
      <w:r>
        <w:rPr/>
        <w:t>rich</w:t>
      </w:r>
      <w:r>
        <w:rPr>
          <w:spacing w:val="-2"/>
        </w:rPr>
        <w:t> </w:t>
      </w:r>
      <w:r>
        <w:rPr/>
        <w:t>nations,</w:t>
      </w:r>
      <w:r>
        <w:rPr>
          <w:spacing w:val="-1"/>
        </w:rPr>
        <w:t> </w:t>
      </w:r>
      <w:r>
        <w:rPr/>
        <w:t>a “curse” which can lead to instability in regions important to the global energy market.</w:t>
      </w:r>
      <w:r>
        <w:rPr>
          <w:rFonts w:ascii="Century Gothic" w:hAnsi="Century Gothic"/>
          <w:vertAlign w:val="superscript"/>
        </w:rPr>
        <w:t>1</w:t>
      </w:r>
      <w:r>
        <w:rPr>
          <w:rFonts w:ascii="Century Gothic" w:hAnsi="Century Gothic"/>
          <w:spacing w:val="40"/>
          <w:vertAlign w:val="baseline"/>
        </w:rPr>
        <w:t> </w:t>
      </w:r>
      <w:r>
        <w:rPr>
          <w:vertAlign w:val="baseline"/>
        </w:rPr>
        <w:t>Research on the</w:t>
      </w:r>
      <w:r>
        <w:rPr>
          <w:spacing w:val="-4"/>
          <w:vertAlign w:val="baseline"/>
        </w:rPr>
        <w:t> </w:t>
      </w:r>
      <w:r>
        <w:rPr>
          <w:vertAlign w:val="baseline"/>
        </w:rPr>
        <w:t>impact</w:t>
      </w:r>
      <w:r>
        <w:rPr>
          <w:spacing w:val="-4"/>
          <w:vertAlign w:val="baseline"/>
        </w:rPr>
        <w:t> </w:t>
      </w:r>
      <w:r>
        <w:rPr>
          <w:vertAlign w:val="baseline"/>
        </w:rPr>
        <w:t>of</w:t>
      </w:r>
      <w:r>
        <w:rPr>
          <w:spacing w:val="-4"/>
          <w:vertAlign w:val="baseline"/>
        </w:rPr>
        <w:t> </w:t>
      </w:r>
      <w:r>
        <w:rPr>
          <w:vertAlign w:val="baseline"/>
        </w:rPr>
        <w:t>oil</w:t>
      </w:r>
      <w:r>
        <w:rPr>
          <w:spacing w:val="-4"/>
          <w:vertAlign w:val="baseline"/>
        </w:rPr>
        <w:t> </w:t>
      </w:r>
      <w:r>
        <w:rPr>
          <w:vertAlign w:val="baseline"/>
        </w:rPr>
        <w:t>on</w:t>
      </w:r>
      <w:r>
        <w:rPr>
          <w:spacing w:val="-5"/>
          <w:vertAlign w:val="baseline"/>
        </w:rPr>
        <w:t> </w:t>
      </w:r>
      <w:r>
        <w:rPr>
          <w:vertAlign w:val="baseline"/>
        </w:rPr>
        <w:t>intrastate</w:t>
      </w:r>
      <w:r>
        <w:rPr>
          <w:spacing w:val="-4"/>
          <w:vertAlign w:val="baseline"/>
        </w:rPr>
        <w:t> </w:t>
      </w:r>
      <w:r>
        <w:rPr>
          <w:vertAlign w:val="baseline"/>
        </w:rPr>
        <w:t>conflict</w:t>
      </w:r>
      <w:r>
        <w:rPr>
          <w:spacing w:val="-4"/>
          <w:vertAlign w:val="baseline"/>
        </w:rPr>
        <w:t> </w:t>
      </w:r>
      <w:r>
        <w:rPr>
          <w:vertAlign w:val="baseline"/>
        </w:rPr>
        <w:t>however</w:t>
      </w:r>
      <w:r>
        <w:rPr>
          <w:spacing w:val="-4"/>
          <w:vertAlign w:val="baseline"/>
        </w:rPr>
        <w:t> </w:t>
      </w:r>
      <w:r>
        <w:rPr>
          <w:vertAlign w:val="baseline"/>
        </w:rPr>
        <w:t>tend</w:t>
      </w:r>
      <w:r>
        <w:rPr>
          <w:spacing w:val="-4"/>
          <w:vertAlign w:val="baseline"/>
        </w:rPr>
        <w:t> </w:t>
      </w:r>
      <w:r>
        <w:rPr>
          <w:vertAlign w:val="baseline"/>
        </w:rPr>
        <w:t>to</w:t>
      </w:r>
      <w:r>
        <w:rPr>
          <w:spacing w:val="-4"/>
          <w:vertAlign w:val="baseline"/>
        </w:rPr>
        <w:t> </w:t>
      </w:r>
      <w:r>
        <w:rPr>
          <w:vertAlign w:val="baseline"/>
        </w:rPr>
        <w:t>treat</w:t>
      </w:r>
      <w:r>
        <w:rPr>
          <w:spacing w:val="-4"/>
          <w:vertAlign w:val="baseline"/>
        </w:rPr>
        <w:t> </w:t>
      </w:r>
      <w:r>
        <w:rPr>
          <w:vertAlign w:val="baseline"/>
        </w:rPr>
        <w:t>oil</w:t>
      </w:r>
      <w:r>
        <w:rPr>
          <w:spacing w:val="-4"/>
          <w:vertAlign w:val="baseline"/>
        </w:rPr>
        <w:t> </w:t>
      </w:r>
      <w:r>
        <w:rPr>
          <w:vertAlign w:val="baseline"/>
        </w:rPr>
        <w:t>as</w:t>
      </w:r>
      <w:r>
        <w:rPr>
          <w:spacing w:val="-4"/>
          <w:vertAlign w:val="baseline"/>
        </w:rPr>
        <w:t> </w:t>
      </w:r>
      <w:r>
        <w:rPr>
          <w:vertAlign w:val="baseline"/>
        </w:rPr>
        <w:t>a</w:t>
      </w:r>
      <w:r>
        <w:rPr>
          <w:spacing w:val="-5"/>
          <w:vertAlign w:val="baseline"/>
        </w:rPr>
        <w:t> </w:t>
      </w:r>
      <w:r>
        <w:rPr>
          <w:vertAlign w:val="baseline"/>
        </w:rPr>
        <w:t>constant,</w:t>
      </w:r>
      <w:r>
        <w:rPr>
          <w:spacing w:val="-3"/>
          <w:vertAlign w:val="baseline"/>
        </w:rPr>
        <w:t> </w:t>
      </w:r>
      <w:r>
        <w:rPr>
          <w:vertAlign w:val="baseline"/>
        </w:rPr>
        <w:t>contrasting</w:t>
      </w:r>
      <w:r>
        <w:rPr>
          <w:spacing w:val="-4"/>
          <w:vertAlign w:val="baseline"/>
        </w:rPr>
        <w:t> </w:t>
      </w:r>
      <w:r>
        <w:rPr>
          <w:vertAlign w:val="baseline"/>
        </w:rPr>
        <w:t>with</w:t>
      </w:r>
      <w:r>
        <w:rPr>
          <w:spacing w:val="-4"/>
          <w:vertAlign w:val="baseline"/>
        </w:rPr>
        <w:t> </w:t>
      </w:r>
      <w:r>
        <w:rPr>
          <w:vertAlign w:val="baseline"/>
        </w:rPr>
        <w:t>a</w:t>
      </w:r>
      <w:r>
        <w:rPr>
          <w:spacing w:val="-4"/>
          <w:vertAlign w:val="baseline"/>
        </w:rPr>
        <w:t> </w:t>
      </w:r>
      <w:r>
        <w:rPr>
          <w:vertAlign w:val="baseline"/>
        </w:rPr>
        <w:t>reality in</w:t>
      </w:r>
      <w:r>
        <w:rPr>
          <w:spacing w:val="-7"/>
          <w:vertAlign w:val="baseline"/>
        </w:rPr>
        <w:t> </w:t>
      </w:r>
      <w:r>
        <w:rPr>
          <w:vertAlign w:val="baseline"/>
        </w:rPr>
        <w:t>which</w:t>
      </w:r>
      <w:r>
        <w:rPr>
          <w:spacing w:val="-7"/>
          <w:vertAlign w:val="baseline"/>
        </w:rPr>
        <w:t> </w:t>
      </w:r>
      <w:r>
        <w:rPr>
          <w:vertAlign w:val="baseline"/>
        </w:rPr>
        <w:t>oil</w:t>
      </w:r>
      <w:r>
        <w:rPr>
          <w:spacing w:val="-7"/>
          <w:vertAlign w:val="baseline"/>
        </w:rPr>
        <w:t> </w:t>
      </w:r>
      <w:r>
        <w:rPr>
          <w:vertAlign w:val="baseline"/>
        </w:rPr>
        <w:t>prices</w:t>
      </w:r>
      <w:r>
        <w:rPr>
          <w:spacing w:val="-7"/>
          <w:vertAlign w:val="baseline"/>
        </w:rPr>
        <w:t> </w:t>
      </w:r>
      <w:r>
        <w:rPr>
          <w:vertAlign w:val="baseline"/>
        </w:rPr>
        <w:t>are</w:t>
      </w:r>
      <w:r>
        <w:rPr>
          <w:spacing w:val="-7"/>
          <w:vertAlign w:val="baseline"/>
        </w:rPr>
        <w:t> </w:t>
      </w:r>
      <w:r>
        <w:rPr>
          <w:vertAlign w:val="baseline"/>
        </w:rPr>
        <w:t>constantly</w:t>
      </w:r>
      <w:r>
        <w:rPr>
          <w:spacing w:val="-7"/>
          <w:vertAlign w:val="baseline"/>
        </w:rPr>
        <w:t> </w:t>
      </w:r>
      <w:r>
        <w:rPr>
          <w:vertAlign w:val="baseline"/>
        </w:rPr>
        <w:t>in</w:t>
      </w:r>
      <w:r>
        <w:rPr>
          <w:spacing w:val="-7"/>
          <w:vertAlign w:val="baseline"/>
        </w:rPr>
        <w:t> </w:t>
      </w:r>
      <w:r>
        <w:rPr>
          <w:vertAlign w:val="baseline"/>
        </w:rPr>
        <w:t>flux. Indeed,</w:t>
      </w:r>
      <w:r>
        <w:rPr>
          <w:spacing w:val="-7"/>
          <w:vertAlign w:val="baseline"/>
        </w:rPr>
        <w:t> </w:t>
      </w:r>
      <w:r>
        <w:rPr>
          <w:vertAlign w:val="baseline"/>
        </w:rPr>
        <w:t>there</w:t>
      </w:r>
      <w:r>
        <w:rPr>
          <w:spacing w:val="-7"/>
          <w:vertAlign w:val="baseline"/>
        </w:rPr>
        <w:t> </w:t>
      </w:r>
      <w:r>
        <w:rPr>
          <w:vertAlign w:val="baseline"/>
        </w:rPr>
        <w:t>has</w:t>
      </w:r>
      <w:r>
        <w:rPr>
          <w:spacing w:val="-7"/>
          <w:vertAlign w:val="baseline"/>
        </w:rPr>
        <w:t> </w:t>
      </w:r>
      <w:r>
        <w:rPr>
          <w:vertAlign w:val="baseline"/>
        </w:rPr>
        <w:t>been</w:t>
      </w:r>
      <w:r>
        <w:rPr>
          <w:spacing w:val="-7"/>
          <w:vertAlign w:val="baseline"/>
        </w:rPr>
        <w:t> </w:t>
      </w:r>
      <w:r>
        <w:rPr>
          <w:vertAlign w:val="baseline"/>
        </w:rPr>
        <w:t>significant</w:t>
      </w:r>
      <w:r>
        <w:rPr>
          <w:spacing w:val="-7"/>
          <w:vertAlign w:val="baseline"/>
        </w:rPr>
        <w:t> </w:t>
      </w:r>
      <w:r>
        <w:rPr>
          <w:vertAlign w:val="baseline"/>
        </w:rPr>
        <w:t>variation</w:t>
      </w:r>
      <w:r>
        <w:rPr>
          <w:spacing w:val="-7"/>
          <w:vertAlign w:val="baseline"/>
        </w:rPr>
        <w:t> </w:t>
      </w:r>
      <w:r>
        <w:rPr>
          <w:vertAlign w:val="baseline"/>
        </w:rPr>
        <w:t>in</w:t>
      </w:r>
      <w:r>
        <w:rPr>
          <w:spacing w:val="-7"/>
          <w:vertAlign w:val="baseline"/>
        </w:rPr>
        <w:t> </w:t>
      </w:r>
      <w:r>
        <w:rPr>
          <w:vertAlign w:val="baseline"/>
        </w:rPr>
        <w:t>crude</w:t>
      </w:r>
      <w:r>
        <w:rPr>
          <w:spacing w:val="-7"/>
          <w:vertAlign w:val="baseline"/>
        </w:rPr>
        <w:t> </w:t>
      </w:r>
      <w:r>
        <w:rPr>
          <w:vertAlign w:val="baseline"/>
        </w:rPr>
        <w:t>oil</w:t>
      </w:r>
      <w:r>
        <w:rPr>
          <w:spacing w:val="-7"/>
          <w:vertAlign w:val="baseline"/>
        </w:rPr>
        <w:t> </w:t>
      </w:r>
      <w:r>
        <w:rPr>
          <w:vertAlign w:val="baseline"/>
        </w:rPr>
        <w:t>prices since 1980, with prices often settling at multi-year averages that are significantly higher or lower than previous</w:t>
      </w:r>
      <w:r>
        <w:rPr>
          <w:spacing w:val="-9"/>
          <w:vertAlign w:val="baseline"/>
        </w:rPr>
        <w:t> </w:t>
      </w:r>
      <w:r>
        <w:rPr>
          <w:vertAlign w:val="baseline"/>
        </w:rPr>
        <w:t>averages.</w:t>
      </w:r>
      <w:r>
        <w:rPr>
          <w:spacing w:val="9"/>
          <w:vertAlign w:val="baseline"/>
        </w:rPr>
        <w:t> </w:t>
      </w:r>
      <w:r>
        <w:rPr>
          <w:vertAlign w:val="baseline"/>
        </w:rPr>
        <w:t>This</w:t>
      </w:r>
      <w:r>
        <w:rPr>
          <w:spacing w:val="-9"/>
          <w:vertAlign w:val="baseline"/>
        </w:rPr>
        <w:t> </w:t>
      </w:r>
      <w:r>
        <w:rPr>
          <w:vertAlign w:val="baseline"/>
        </w:rPr>
        <w:t>leads</w:t>
      </w:r>
      <w:r>
        <w:rPr>
          <w:spacing w:val="-9"/>
          <w:vertAlign w:val="baseline"/>
        </w:rPr>
        <w:t> </w:t>
      </w:r>
      <w:r>
        <w:rPr>
          <w:vertAlign w:val="baseline"/>
        </w:rPr>
        <w:t>to</w:t>
      </w:r>
      <w:r>
        <w:rPr>
          <w:spacing w:val="-9"/>
          <w:vertAlign w:val="baseline"/>
        </w:rPr>
        <w:t> </w:t>
      </w:r>
      <w:r>
        <w:rPr>
          <w:vertAlign w:val="baseline"/>
        </w:rPr>
        <w:t>a</w:t>
      </w:r>
      <w:r>
        <w:rPr>
          <w:spacing w:val="-9"/>
          <w:vertAlign w:val="baseline"/>
        </w:rPr>
        <w:t> </w:t>
      </w:r>
      <w:r>
        <w:rPr>
          <w:vertAlign w:val="baseline"/>
        </w:rPr>
        <w:t>lingering</w:t>
      </w:r>
      <w:r>
        <w:rPr>
          <w:spacing w:val="-9"/>
          <w:vertAlign w:val="baseline"/>
        </w:rPr>
        <w:t> </w:t>
      </w:r>
      <w:r>
        <w:rPr>
          <w:vertAlign w:val="baseline"/>
        </w:rPr>
        <w:t>question</w:t>
      </w:r>
      <w:r>
        <w:rPr>
          <w:spacing w:val="-9"/>
          <w:vertAlign w:val="baseline"/>
        </w:rPr>
        <w:t> </w:t>
      </w:r>
      <w:r>
        <w:rPr>
          <w:vertAlign w:val="baseline"/>
        </w:rPr>
        <w:t>in</w:t>
      </w:r>
      <w:r>
        <w:rPr>
          <w:spacing w:val="-9"/>
          <w:vertAlign w:val="baseline"/>
        </w:rPr>
        <w:t> </w:t>
      </w:r>
      <w:r>
        <w:rPr>
          <w:vertAlign w:val="baseline"/>
        </w:rPr>
        <w:t>the</w:t>
      </w:r>
      <w:r>
        <w:rPr>
          <w:spacing w:val="-9"/>
          <w:vertAlign w:val="baseline"/>
        </w:rPr>
        <w:t> </w:t>
      </w:r>
      <w:r>
        <w:rPr>
          <w:vertAlign w:val="baseline"/>
        </w:rPr>
        <w:t>literature,</w:t>
      </w:r>
      <w:r>
        <w:rPr>
          <w:spacing w:val="-8"/>
          <w:vertAlign w:val="baseline"/>
        </w:rPr>
        <w:t> </w:t>
      </w:r>
      <w:r>
        <w:rPr>
          <w:vertAlign w:val="baseline"/>
        </w:rPr>
        <w:t>what</w:t>
      </w:r>
      <w:r>
        <w:rPr>
          <w:spacing w:val="-9"/>
          <w:vertAlign w:val="baseline"/>
        </w:rPr>
        <w:t> </w:t>
      </w:r>
      <w:r>
        <w:rPr>
          <w:vertAlign w:val="baseline"/>
        </w:rPr>
        <w:t>impact</w:t>
      </w:r>
      <w:r>
        <w:rPr>
          <w:spacing w:val="-9"/>
          <w:vertAlign w:val="baseline"/>
        </w:rPr>
        <w:t> </w:t>
      </w:r>
      <w:r>
        <w:rPr>
          <w:vertAlign w:val="baseline"/>
        </w:rPr>
        <w:t>does</w:t>
      </w:r>
      <w:r>
        <w:rPr>
          <w:spacing w:val="-9"/>
          <w:vertAlign w:val="baseline"/>
        </w:rPr>
        <w:t> </w:t>
      </w:r>
      <w:r>
        <w:rPr>
          <w:vertAlign w:val="baseline"/>
        </w:rPr>
        <w:t>variation</w:t>
      </w:r>
      <w:r>
        <w:rPr>
          <w:spacing w:val="-9"/>
          <w:vertAlign w:val="baseline"/>
        </w:rPr>
        <w:t> </w:t>
      </w:r>
      <w:r>
        <w:rPr>
          <w:vertAlign w:val="baseline"/>
        </w:rPr>
        <w:t>in</w:t>
      </w:r>
      <w:r>
        <w:rPr>
          <w:spacing w:val="-9"/>
          <w:vertAlign w:val="baseline"/>
        </w:rPr>
        <w:t> </w:t>
      </w:r>
      <w:r>
        <w:rPr>
          <w:vertAlign w:val="baseline"/>
        </w:rPr>
        <w:t>the price of oil have on intrastate conflicts?</w:t>
      </w:r>
    </w:p>
    <w:p>
      <w:pPr>
        <w:pStyle w:val="BodyText"/>
        <w:spacing w:line="316" w:lineRule="auto" w:before="147"/>
        <w:ind w:left="117" w:right="633" w:firstLine="298"/>
        <w:jc w:val="both"/>
      </w:pPr>
      <w:r>
        <w:rPr>
          <w:spacing w:val="-2"/>
        </w:rPr>
        <w:t>This</w:t>
      </w:r>
      <w:r>
        <w:rPr>
          <w:spacing w:val="-10"/>
        </w:rPr>
        <w:t> </w:t>
      </w:r>
      <w:r>
        <w:rPr>
          <w:spacing w:val="-2"/>
        </w:rPr>
        <w:t>paper</w:t>
      </w:r>
      <w:r>
        <w:rPr>
          <w:spacing w:val="-10"/>
        </w:rPr>
        <w:t> </w:t>
      </w:r>
      <w:r>
        <w:rPr>
          <w:spacing w:val="-2"/>
        </w:rPr>
        <w:t>addresses</w:t>
      </w:r>
      <w:r>
        <w:rPr>
          <w:spacing w:val="-10"/>
        </w:rPr>
        <w:t> </w:t>
      </w:r>
      <w:r>
        <w:rPr>
          <w:spacing w:val="-2"/>
        </w:rPr>
        <w:t>this</w:t>
      </w:r>
      <w:r>
        <w:rPr>
          <w:spacing w:val="-10"/>
        </w:rPr>
        <w:t> </w:t>
      </w:r>
      <w:r>
        <w:rPr>
          <w:spacing w:val="-2"/>
        </w:rPr>
        <w:t>gap</w:t>
      </w:r>
      <w:r>
        <w:rPr>
          <w:spacing w:val="-10"/>
        </w:rPr>
        <w:t> </w:t>
      </w:r>
      <w:r>
        <w:rPr>
          <w:spacing w:val="-2"/>
        </w:rPr>
        <w:t>in</w:t>
      </w:r>
      <w:r>
        <w:rPr>
          <w:spacing w:val="-10"/>
        </w:rPr>
        <w:t> </w:t>
      </w:r>
      <w:r>
        <w:rPr>
          <w:spacing w:val="-2"/>
        </w:rPr>
        <w:t>the</w:t>
      </w:r>
      <w:r>
        <w:rPr>
          <w:spacing w:val="-10"/>
        </w:rPr>
        <w:t> </w:t>
      </w:r>
      <w:r>
        <w:rPr>
          <w:spacing w:val="-2"/>
        </w:rPr>
        <w:t>literature,</w:t>
      </w:r>
      <w:r>
        <w:rPr>
          <w:spacing w:val="-6"/>
        </w:rPr>
        <w:t> </w:t>
      </w:r>
      <w:r>
        <w:rPr>
          <w:spacing w:val="-2"/>
        </w:rPr>
        <w:t>theorizing</w:t>
      </w:r>
      <w:r>
        <w:rPr>
          <w:spacing w:val="-10"/>
        </w:rPr>
        <w:t> </w:t>
      </w:r>
      <w:r>
        <w:rPr>
          <w:spacing w:val="-2"/>
        </w:rPr>
        <w:t>that</w:t>
      </w:r>
      <w:r>
        <w:rPr>
          <w:spacing w:val="-10"/>
        </w:rPr>
        <w:t> </w:t>
      </w:r>
      <w:r>
        <w:rPr>
          <w:spacing w:val="-2"/>
        </w:rPr>
        <w:t>fluctuating</w:t>
      </w:r>
      <w:r>
        <w:rPr>
          <w:spacing w:val="-10"/>
        </w:rPr>
        <w:t> </w:t>
      </w:r>
      <w:r>
        <w:rPr>
          <w:spacing w:val="-2"/>
        </w:rPr>
        <w:t>oil</w:t>
      </w:r>
      <w:r>
        <w:rPr>
          <w:spacing w:val="-10"/>
        </w:rPr>
        <w:t> </w:t>
      </w:r>
      <w:r>
        <w:rPr>
          <w:spacing w:val="-2"/>
        </w:rPr>
        <w:t>prices</w:t>
      </w:r>
      <w:r>
        <w:rPr>
          <w:spacing w:val="-10"/>
        </w:rPr>
        <w:t> </w:t>
      </w:r>
      <w:r>
        <w:rPr>
          <w:spacing w:val="-2"/>
        </w:rPr>
        <w:t>effect</w:t>
      </w:r>
      <w:r>
        <w:rPr>
          <w:spacing w:val="-10"/>
        </w:rPr>
        <w:t> </w:t>
      </w:r>
      <w:r>
        <w:rPr>
          <w:spacing w:val="-2"/>
        </w:rPr>
        <w:t>the</w:t>
      </w:r>
      <w:r>
        <w:rPr>
          <w:spacing w:val="-10"/>
        </w:rPr>
        <w:t> </w:t>
      </w:r>
      <w:r>
        <w:rPr>
          <w:spacing w:val="-2"/>
        </w:rPr>
        <w:t>intensity </w:t>
      </w:r>
      <w:r>
        <w:rPr/>
        <w:t>of</w:t>
      </w:r>
      <w:r>
        <w:rPr>
          <w:spacing w:val="-13"/>
        </w:rPr>
        <w:t> </w:t>
      </w:r>
      <w:r>
        <w:rPr/>
        <w:t>civil</w:t>
      </w:r>
      <w:r>
        <w:rPr>
          <w:spacing w:val="-12"/>
        </w:rPr>
        <w:t> </w:t>
      </w:r>
      <w:r>
        <w:rPr/>
        <w:t>conflict</w:t>
      </w:r>
      <w:r>
        <w:rPr>
          <w:spacing w:val="-12"/>
        </w:rPr>
        <w:t> </w:t>
      </w:r>
      <w:r>
        <w:rPr/>
        <w:t>through</w:t>
      </w:r>
      <w:r>
        <w:rPr>
          <w:spacing w:val="-12"/>
        </w:rPr>
        <w:t> </w:t>
      </w:r>
      <w:r>
        <w:rPr/>
        <w:t>an</w:t>
      </w:r>
      <w:r>
        <w:rPr>
          <w:spacing w:val="-12"/>
        </w:rPr>
        <w:t> </w:t>
      </w:r>
      <w:r>
        <w:rPr/>
        <w:t>intervening</w:t>
      </w:r>
      <w:r>
        <w:rPr>
          <w:spacing w:val="-12"/>
        </w:rPr>
        <w:t> </w:t>
      </w:r>
      <w:r>
        <w:rPr/>
        <w:t>variable:</w:t>
      </w:r>
      <w:r>
        <w:rPr>
          <w:spacing w:val="-12"/>
        </w:rPr>
        <w:t> </w:t>
      </w:r>
      <w:r>
        <w:rPr/>
        <w:t>military</w:t>
      </w:r>
      <w:r>
        <w:rPr>
          <w:spacing w:val="-12"/>
        </w:rPr>
        <w:t> </w:t>
      </w:r>
      <w:r>
        <w:rPr/>
        <w:t>expenditures.</w:t>
      </w:r>
      <w:r>
        <w:rPr>
          <w:spacing w:val="4"/>
        </w:rPr>
        <w:t> </w:t>
      </w:r>
      <w:r>
        <w:rPr/>
        <w:t>We</w:t>
      </w:r>
      <w:r>
        <w:rPr>
          <w:spacing w:val="-13"/>
        </w:rPr>
        <w:t> </w:t>
      </w:r>
      <w:r>
        <w:rPr/>
        <w:t>argue</w:t>
      </w:r>
      <w:r>
        <w:rPr>
          <w:spacing w:val="-12"/>
        </w:rPr>
        <w:t> </w:t>
      </w:r>
      <w:r>
        <w:rPr/>
        <w:t>that</w:t>
      </w:r>
      <w:r>
        <w:rPr>
          <w:spacing w:val="-12"/>
        </w:rPr>
        <w:t> </w:t>
      </w:r>
      <w:r>
        <w:rPr/>
        <w:t>drops</w:t>
      </w:r>
      <w:r>
        <w:rPr>
          <w:spacing w:val="-12"/>
        </w:rPr>
        <w:t> </w:t>
      </w:r>
      <w:r>
        <w:rPr/>
        <w:t>in</w:t>
      </w:r>
      <w:r>
        <w:rPr>
          <w:spacing w:val="-12"/>
        </w:rPr>
        <w:t> </w:t>
      </w:r>
      <w:r>
        <w:rPr/>
        <w:t>oil</w:t>
      </w:r>
      <w:r>
        <w:rPr>
          <w:spacing w:val="-12"/>
        </w:rPr>
        <w:t> </w:t>
      </w:r>
      <w:r>
        <w:rPr/>
        <w:t>prices reduce revenue for oil-dependent states, thus reducing the state’s military expenditures.</w:t>
      </w:r>
      <w:r>
        <w:rPr>
          <w:spacing w:val="40"/>
        </w:rPr>
        <w:t> </w:t>
      </w:r>
      <w:r>
        <w:rPr/>
        <w:t>As military expenditures determine overall military capacity, greater military expenditures should correlate with an</w:t>
      </w:r>
      <w:r>
        <w:rPr>
          <w:spacing w:val="-5"/>
        </w:rPr>
        <w:t> </w:t>
      </w:r>
      <w:r>
        <w:rPr/>
        <w:t>increased</w:t>
      </w:r>
      <w:r>
        <w:rPr>
          <w:spacing w:val="-5"/>
        </w:rPr>
        <w:t> </w:t>
      </w:r>
      <w:r>
        <w:rPr/>
        <w:t>capacity</w:t>
      </w:r>
      <w:r>
        <w:rPr>
          <w:spacing w:val="-5"/>
        </w:rPr>
        <w:t> </w:t>
      </w:r>
      <w:r>
        <w:rPr/>
        <w:t>to</w:t>
      </w:r>
      <w:r>
        <w:rPr>
          <w:spacing w:val="-5"/>
        </w:rPr>
        <w:t> </w:t>
      </w:r>
      <w:r>
        <w:rPr/>
        <w:t>implement</w:t>
      </w:r>
      <w:r>
        <w:rPr>
          <w:spacing w:val="-5"/>
        </w:rPr>
        <w:t> </w:t>
      </w:r>
      <w:r>
        <w:rPr/>
        <w:t>security</w:t>
      </w:r>
      <w:r>
        <w:rPr>
          <w:spacing w:val="-5"/>
        </w:rPr>
        <w:t> </w:t>
      </w:r>
      <w:r>
        <w:rPr/>
        <w:t>measures</w:t>
      </w:r>
      <w:r>
        <w:rPr>
          <w:spacing w:val="-5"/>
        </w:rPr>
        <w:t> </w:t>
      </w:r>
      <w:r>
        <w:rPr/>
        <w:t>and</w:t>
      </w:r>
      <w:r>
        <w:rPr>
          <w:spacing w:val="-5"/>
        </w:rPr>
        <w:t> </w:t>
      </w:r>
      <w:r>
        <w:rPr/>
        <w:t>put</w:t>
      </w:r>
      <w:r>
        <w:rPr>
          <w:spacing w:val="-5"/>
        </w:rPr>
        <w:t> </w:t>
      </w:r>
      <w:r>
        <w:rPr/>
        <w:t>down</w:t>
      </w:r>
      <w:r>
        <w:rPr>
          <w:spacing w:val="-5"/>
        </w:rPr>
        <w:t> </w:t>
      </w:r>
      <w:r>
        <w:rPr/>
        <w:t>rebellions,</w:t>
      </w:r>
      <w:r>
        <w:rPr>
          <w:spacing w:val="-5"/>
        </w:rPr>
        <w:t> </w:t>
      </w:r>
      <w:r>
        <w:rPr/>
        <w:t>resulting</w:t>
      </w:r>
      <w:r>
        <w:rPr>
          <w:spacing w:val="-5"/>
        </w:rPr>
        <w:t> </w:t>
      </w:r>
      <w:r>
        <w:rPr/>
        <w:t>in</w:t>
      </w:r>
      <w:r>
        <w:rPr>
          <w:spacing w:val="-5"/>
        </w:rPr>
        <w:t> </w:t>
      </w:r>
      <w:r>
        <w:rPr/>
        <w:t>a</w:t>
      </w:r>
      <w:r>
        <w:rPr>
          <w:spacing w:val="-5"/>
        </w:rPr>
        <w:t> </w:t>
      </w:r>
      <w:r>
        <w:rPr/>
        <w:t>decrease in battle deaths.</w:t>
      </w:r>
      <w:r>
        <w:rPr>
          <w:spacing w:val="40"/>
        </w:rPr>
        <w:t> </w:t>
      </w:r>
      <w:r>
        <w:rPr/>
        <w:t>This should be particularly pronounced in states more heavily reliant on oil to fund government expenditures.</w:t>
      </w:r>
    </w:p>
    <w:p>
      <w:pPr>
        <w:pStyle w:val="BodyText"/>
        <w:spacing w:line="316" w:lineRule="auto" w:before="134"/>
        <w:ind w:left="117" w:right="632" w:firstLine="298"/>
        <w:jc w:val="both"/>
      </w:pPr>
      <w:r>
        <w:rPr/>
        <w:t>While we theorize that the impact of higher oil prices is higher military expenditures and lower combat</w:t>
      </w:r>
      <w:r>
        <w:rPr>
          <w:spacing w:val="-10"/>
        </w:rPr>
        <w:t> </w:t>
      </w:r>
      <w:r>
        <w:rPr/>
        <w:t>fatalities,</w:t>
      </w:r>
      <w:r>
        <w:rPr>
          <w:spacing w:val="-9"/>
        </w:rPr>
        <w:t> </w:t>
      </w:r>
      <w:r>
        <w:rPr/>
        <w:t>we</w:t>
      </w:r>
      <w:r>
        <w:rPr>
          <w:spacing w:val="-10"/>
        </w:rPr>
        <w:t> </w:t>
      </w:r>
      <w:r>
        <w:rPr/>
        <w:t>also</w:t>
      </w:r>
      <w:r>
        <w:rPr>
          <w:spacing w:val="-10"/>
        </w:rPr>
        <w:t> </w:t>
      </w:r>
      <w:r>
        <w:rPr/>
        <w:t>recognize</w:t>
      </w:r>
      <w:r>
        <w:rPr>
          <w:spacing w:val="-10"/>
        </w:rPr>
        <w:t> </w:t>
      </w:r>
      <w:r>
        <w:rPr/>
        <w:t>that</w:t>
      </w:r>
      <w:r>
        <w:rPr>
          <w:spacing w:val="-10"/>
        </w:rPr>
        <w:t> </w:t>
      </w:r>
      <w:r>
        <w:rPr/>
        <w:t>the</w:t>
      </w:r>
      <w:r>
        <w:rPr>
          <w:spacing w:val="-10"/>
        </w:rPr>
        <w:t> </w:t>
      </w:r>
      <w:r>
        <w:rPr/>
        <w:t>link</w:t>
      </w:r>
      <w:r>
        <w:rPr>
          <w:spacing w:val="-10"/>
        </w:rPr>
        <w:t> </w:t>
      </w:r>
      <w:r>
        <w:rPr/>
        <w:t>between</w:t>
      </w:r>
      <w:r>
        <w:rPr>
          <w:spacing w:val="-10"/>
        </w:rPr>
        <w:t> </w:t>
      </w:r>
      <w:r>
        <w:rPr/>
        <w:t>higher</w:t>
      </w:r>
      <w:r>
        <w:rPr>
          <w:spacing w:val="-10"/>
        </w:rPr>
        <w:t> </w:t>
      </w:r>
      <w:r>
        <w:rPr/>
        <w:t>military</w:t>
      </w:r>
      <w:r>
        <w:rPr>
          <w:spacing w:val="-10"/>
        </w:rPr>
        <w:t> </w:t>
      </w:r>
      <w:r>
        <w:rPr/>
        <w:t>expenditures</w:t>
      </w:r>
      <w:r>
        <w:rPr>
          <w:spacing w:val="-10"/>
        </w:rPr>
        <w:t> </w:t>
      </w:r>
      <w:r>
        <w:rPr/>
        <w:t>and</w:t>
      </w:r>
      <w:r>
        <w:rPr>
          <w:spacing w:val="-10"/>
        </w:rPr>
        <w:t> </w:t>
      </w:r>
      <w:r>
        <w:rPr/>
        <w:t>civil</w:t>
      </w:r>
      <w:r>
        <w:rPr>
          <w:spacing w:val="-10"/>
        </w:rPr>
        <w:t> </w:t>
      </w:r>
      <w:r>
        <w:rPr/>
        <w:t>conflict intensity may be non-linear.</w:t>
      </w:r>
      <w:r>
        <w:rPr>
          <w:spacing w:val="40"/>
        </w:rPr>
        <w:t> </w:t>
      </w:r>
      <w:r>
        <w:rPr/>
        <w:t>In states experiencing higher intensity civil conflict marked by higher combat fatalities, an increase in military expenditures could actually lead to greater battle deaths as crackdowns and clashes with rebels intensify.</w:t>
      </w:r>
      <w:r>
        <w:rPr>
          <w:spacing w:val="40"/>
        </w:rPr>
        <w:t> </w:t>
      </w:r>
      <w:r>
        <w:rPr/>
        <w:t>However, in low-intensity conflicts, the most common conflict</w:t>
      </w:r>
      <w:r>
        <w:rPr>
          <w:spacing w:val="-8"/>
        </w:rPr>
        <w:t> </w:t>
      </w:r>
      <w:r>
        <w:rPr/>
        <w:t>we</w:t>
      </w:r>
      <w:r>
        <w:rPr>
          <w:spacing w:val="-7"/>
        </w:rPr>
        <w:t> </w:t>
      </w:r>
      <w:r>
        <w:rPr/>
        <w:t>observe,</w:t>
      </w:r>
      <w:r>
        <w:rPr>
          <w:spacing w:val="-7"/>
        </w:rPr>
        <w:t> </w:t>
      </w:r>
      <w:r>
        <w:rPr/>
        <w:t>the</w:t>
      </w:r>
      <w:r>
        <w:rPr>
          <w:spacing w:val="-7"/>
        </w:rPr>
        <w:t> </w:t>
      </w:r>
      <w:r>
        <w:rPr/>
        <w:t>opportunity</w:t>
      </w:r>
      <w:r>
        <w:rPr>
          <w:spacing w:val="-8"/>
        </w:rPr>
        <w:t> </w:t>
      </w:r>
      <w:r>
        <w:rPr/>
        <w:t>costs</w:t>
      </w:r>
      <w:r>
        <w:rPr>
          <w:spacing w:val="-7"/>
        </w:rPr>
        <w:t> </w:t>
      </w:r>
      <w:r>
        <w:rPr/>
        <w:t>for</w:t>
      </w:r>
      <w:r>
        <w:rPr>
          <w:spacing w:val="-8"/>
        </w:rPr>
        <w:t> </w:t>
      </w:r>
      <w:r>
        <w:rPr/>
        <w:t>rebels</w:t>
      </w:r>
      <w:r>
        <w:rPr>
          <w:spacing w:val="-8"/>
        </w:rPr>
        <w:t> </w:t>
      </w:r>
      <w:r>
        <w:rPr/>
        <w:t>may</w:t>
      </w:r>
      <w:r>
        <w:rPr>
          <w:spacing w:val="-8"/>
        </w:rPr>
        <w:t> </w:t>
      </w:r>
      <w:r>
        <w:rPr/>
        <w:t>increase</w:t>
      </w:r>
      <w:r>
        <w:rPr>
          <w:spacing w:val="-8"/>
        </w:rPr>
        <w:t> </w:t>
      </w:r>
      <w:r>
        <w:rPr/>
        <w:t>as</w:t>
      </w:r>
      <w:r>
        <w:rPr>
          <w:spacing w:val="-8"/>
        </w:rPr>
        <w:t> </w:t>
      </w:r>
      <w:r>
        <w:rPr/>
        <w:t>security</w:t>
      </w:r>
      <w:r>
        <w:rPr>
          <w:spacing w:val="-8"/>
        </w:rPr>
        <w:t> </w:t>
      </w:r>
      <w:r>
        <w:rPr/>
        <w:t>measures</w:t>
      </w:r>
      <w:r>
        <w:rPr>
          <w:spacing w:val="-8"/>
        </w:rPr>
        <w:t> </w:t>
      </w:r>
      <w:r>
        <w:rPr/>
        <w:t>are</w:t>
      </w:r>
      <w:r>
        <w:rPr>
          <w:spacing w:val="-8"/>
        </w:rPr>
        <w:t> </w:t>
      </w:r>
      <w:r>
        <w:rPr/>
        <w:t>put</w:t>
      </w:r>
      <w:r>
        <w:rPr>
          <w:spacing w:val="-8"/>
        </w:rPr>
        <w:t> </w:t>
      </w:r>
      <w:r>
        <w:rPr/>
        <w:t>in</w:t>
      </w:r>
      <w:r>
        <w:rPr>
          <w:spacing w:val="-8"/>
        </w:rPr>
        <w:t> </w:t>
      </w:r>
      <w:r>
        <w:rPr/>
        <w:t>place, resulting in fewer battle deaths.</w:t>
      </w:r>
      <w:r>
        <w:rPr>
          <w:spacing w:val="37"/>
        </w:rPr>
        <w:t> </w:t>
      </w:r>
      <w:r>
        <w:rPr/>
        <w:t>While the incentives to rebels to gain the financial benefits of oil via conflict should remain constant through price fluctuations, higher prices should increase opportunity costs</w:t>
      </w:r>
      <w:r>
        <w:rPr>
          <w:spacing w:val="-12"/>
        </w:rPr>
        <w:t> </w:t>
      </w:r>
      <w:r>
        <w:rPr/>
        <w:t>for</w:t>
      </w:r>
      <w:r>
        <w:rPr>
          <w:spacing w:val="-12"/>
        </w:rPr>
        <w:t> </w:t>
      </w:r>
      <w:r>
        <w:rPr/>
        <w:t>rebels</w:t>
      </w:r>
      <w:r>
        <w:rPr>
          <w:spacing w:val="-12"/>
        </w:rPr>
        <w:t> </w:t>
      </w:r>
      <w:r>
        <w:rPr/>
        <w:t>engaged</w:t>
      </w:r>
      <w:r>
        <w:rPr>
          <w:spacing w:val="-12"/>
        </w:rPr>
        <w:t> </w:t>
      </w:r>
      <w:r>
        <w:rPr/>
        <w:t>in</w:t>
      </w:r>
      <w:r>
        <w:rPr>
          <w:spacing w:val="-12"/>
        </w:rPr>
        <w:t> </w:t>
      </w:r>
      <w:r>
        <w:rPr/>
        <w:t>low</w:t>
      </w:r>
      <w:r>
        <w:rPr>
          <w:spacing w:val="-12"/>
        </w:rPr>
        <w:t> </w:t>
      </w:r>
      <w:r>
        <w:rPr/>
        <w:t>intensity</w:t>
      </w:r>
      <w:r>
        <w:rPr>
          <w:spacing w:val="-12"/>
        </w:rPr>
        <w:t> </w:t>
      </w:r>
      <w:r>
        <w:rPr/>
        <w:t>rebellions</w:t>
      </w:r>
      <w:r>
        <w:rPr>
          <w:spacing w:val="-12"/>
        </w:rPr>
        <w:t> </w:t>
      </w:r>
      <w:r>
        <w:rPr/>
        <w:t>due</w:t>
      </w:r>
      <w:r>
        <w:rPr>
          <w:spacing w:val="-12"/>
        </w:rPr>
        <w:t> </w:t>
      </w:r>
      <w:r>
        <w:rPr/>
        <w:t>to</w:t>
      </w:r>
      <w:r>
        <w:rPr>
          <w:spacing w:val="-12"/>
        </w:rPr>
        <w:t> </w:t>
      </w:r>
      <w:r>
        <w:rPr/>
        <w:t>the</w:t>
      </w:r>
      <w:r>
        <w:rPr>
          <w:spacing w:val="-12"/>
        </w:rPr>
        <w:t> </w:t>
      </w:r>
      <w:r>
        <w:rPr/>
        <w:t>resulting</w:t>
      </w:r>
      <w:r>
        <w:rPr>
          <w:spacing w:val="-12"/>
        </w:rPr>
        <w:t> </w:t>
      </w:r>
      <w:r>
        <w:rPr/>
        <w:t>increased</w:t>
      </w:r>
      <w:r>
        <w:rPr>
          <w:spacing w:val="-12"/>
        </w:rPr>
        <w:t> </w:t>
      </w:r>
      <w:r>
        <w:rPr/>
        <w:t>resilience</w:t>
      </w:r>
      <w:r>
        <w:rPr>
          <w:spacing w:val="-12"/>
        </w:rPr>
        <w:t> </w:t>
      </w:r>
      <w:r>
        <w:rPr/>
        <w:t>and</w:t>
      </w:r>
      <w:r>
        <w:rPr>
          <w:spacing w:val="-12"/>
        </w:rPr>
        <w:t> </w:t>
      </w:r>
      <w:r>
        <w:rPr/>
        <w:t>coercive capacity of the state.</w:t>
      </w:r>
    </w:p>
    <w:p>
      <w:pPr>
        <w:pStyle w:val="BodyText"/>
        <w:spacing w:line="316" w:lineRule="auto" w:before="131"/>
        <w:ind w:left="117" w:right="635" w:firstLine="298"/>
        <w:jc w:val="both"/>
      </w:pPr>
      <w:r>
        <w:rPr/>
        <w:t>Drawing</w:t>
      </w:r>
      <w:r>
        <w:rPr>
          <w:spacing w:val="-11"/>
        </w:rPr>
        <w:t> </w:t>
      </w:r>
      <w:r>
        <w:rPr/>
        <w:t>on</w:t>
      </w:r>
      <w:r>
        <w:rPr>
          <w:spacing w:val="-11"/>
        </w:rPr>
        <w:t> </w:t>
      </w:r>
      <w:r>
        <w:rPr/>
        <w:t>crude</w:t>
      </w:r>
      <w:r>
        <w:rPr>
          <w:spacing w:val="-11"/>
        </w:rPr>
        <w:t> </w:t>
      </w:r>
      <w:r>
        <w:rPr/>
        <w:t>oil</w:t>
      </w:r>
      <w:r>
        <w:rPr>
          <w:spacing w:val="-11"/>
        </w:rPr>
        <w:t> </w:t>
      </w:r>
      <w:r>
        <w:rPr/>
        <w:t>prices,</w:t>
      </w:r>
      <w:r>
        <w:rPr>
          <w:spacing w:val="-10"/>
        </w:rPr>
        <w:t> </w:t>
      </w:r>
      <w:r>
        <w:rPr/>
        <w:t>military</w:t>
      </w:r>
      <w:r>
        <w:rPr>
          <w:spacing w:val="-11"/>
        </w:rPr>
        <w:t> </w:t>
      </w:r>
      <w:r>
        <w:rPr/>
        <w:t>expenditures,</w:t>
      </w:r>
      <w:r>
        <w:rPr>
          <w:spacing w:val="-10"/>
        </w:rPr>
        <w:t> </w:t>
      </w:r>
      <w:r>
        <w:rPr/>
        <w:t>and</w:t>
      </w:r>
      <w:r>
        <w:rPr>
          <w:spacing w:val="-11"/>
        </w:rPr>
        <w:t> </w:t>
      </w:r>
      <w:r>
        <w:rPr/>
        <w:t>conflict</w:t>
      </w:r>
      <w:r>
        <w:rPr>
          <w:spacing w:val="-11"/>
        </w:rPr>
        <w:t> </w:t>
      </w:r>
      <w:r>
        <w:rPr/>
        <w:t>severity</w:t>
      </w:r>
      <w:r>
        <w:rPr>
          <w:spacing w:val="-11"/>
        </w:rPr>
        <w:t> </w:t>
      </w:r>
      <w:r>
        <w:rPr/>
        <w:t>data</w:t>
      </w:r>
      <w:r>
        <w:rPr>
          <w:spacing w:val="-11"/>
        </w:rPr>
        <w:t> </w:t>
      </w:r>
      <w:r>
        <w:rPr/>
        <w:t>we</w:t>
      </w:r>
      <w:r>
        <w:rPr>
          <w:spacing w:val="-11"/>
        </w:rPr>
        <w:t> </w:t>
      </w:r>
      <w:r>
        <w:rPr/>
        <w:t>examine</w:t>
      </w:r>
      <w:r>
        <w:rPr>
          <w:spacing w:val="-11"/>
        </w:rPr>
        <w:t> </w:t>
      </w:r>
      <w:r>
        <w:rPr/>
        <w:t>67</w:t>
      </w:r>
      <w:r>
        <w:rPr>
          <w:spacing w:val="-11"/>
        </w:rPr>
        <w:t> </w:t>
      </w:r>
      <w:r>
        <w:rPr/>
        <w:t>conflict states from the period of 1989-2019, demonstrating that low average oil prices are correlated with higher battle fatalities in existing civil conflicts.</w:t>
      </w:r>
      <w:r>
        <w:rPr>
          <w:spacing w:val="35"/>
        </w:rPr>
        <w:t> </w:t>
      </w:r>
      <w:r>
        <w:rPr/>
        <w:t>We also demonstrate the role of our proposed causal mechanism,</w:t>
      </w:r>
      <w:r>
        <w:rPr>
          <w:spacing w:val="-7"/>
        </w:rPr>
        <w:t> </w:t>
      </w:r>
      <w:r>
        <w:rPr/>
        <w:t>showing</w:t>
      </w:r>
      <w:r>
        <w:rPr>
          <w:spacing w:val="-8"/>
        </w:rPr>
        <w:t> </w:t>
      </w:r>
      <w:r>
        <w:rPr/>
        <w:t>that</w:t>
      </w:r>
      <w:r>
        <w:rPr>
          <w:spacing w:val="-7"/>
        </w:rPr>
        <w:t> </w:t>
      </w:r>
      <w:r>
        <w:rPr/>
        <w:t>low</w:t>
      </w:r>
      <w:r>
        <w:rPr>
          <w:spacing w:val="-8"/>
        </w:rPr>
        <w:t> </w:t>
      </w:r>
      <w:r>
        <w:rPr/>
        <w:t>average</w:t>
      </w:r>
      <w:r>
        <w:rPr>
          <w:spacing w:val="-8"/>
        </w:rPr>
        <w:t> </w:t>
      </w:r>
      <w:r>
        <w:rPr/>
        <w:t>oil</w:t>
      </w:r>
      <w:r>
        <w:rPr>
          <w:spacing w:val="-8"/>
        </w:rPr>
        <w:t> </w:t>
      </w:r>
      <w:r>
        <w:rPr/>
        <w:t>prices</w:t>
      </w:r>
      <w:r>
        <w:rPr>
          <w:spacing w:val="-7"/>
        </w:rPr>
        <w:t> </w:t>
      </w:r>
      <w:r>
        <w:rPr/>
        <w:t>are</w:t>
      </w:r>
      <w:r>
        <w:rPr>
          <w:spacing w:val="-8"/>
        </w:rPr>
        <w:t> </w:t>
      </w:r>
      <w:r>
        <w:rPr/>
        <w:t>associated</w:t>
      </w:r>
      <w:r>
        <w:rPr>
          <w:spacing w:val="-8"/>
        </w:rPr>
        <w:t> </w:t>
      </w:r>
      <w:r>
        <w:rPr/>
        <w:t>with</w:t>
      </w:r>
      <w:r>
        <w:rPr>
          <w:spacing w:val="-8"/>
        </w:rPr>
        <w:t> </w:t>
      </w:r>
      <w:r>
        <w:rPr/>
        <w:t>lower</w:t>
      </w:r>
      <w:r>
        <w:rPr>
          <w:spacing w:val="-8"/>
        </w:rPr>
        <w:t> </w:t>
      </w:r>
      <w:r>
        <w:rPr/>
        <w:t>military</w:t>
      </w:r>
      <w:r>
        <w:rPr>
          <w:spacing w:val="-8"/>
        </w:rPr>
        <w:t> </w:t>
      </w:r>
      <w:r>
        <w:rPr/>
        <w:t>expenditures,</w:t>
      </w:r>
      <w:r>
        <w:rPr>
          <w:spacing w:val="-7"/>
        </w:rPr>
        <w:t> </w:t>
      </w:r>
      <w:r>
        <w:rPr/>
        <w:t>which are</w:t>
      </w:r>
      <w:r>
        <w:rPr>
          <w:spacing w:val="-1"/>
        </w:rPr>
        <w:t> </w:t>
      </w:r>
      <w:r>
        <w:rPr/>
        <w:t>in</w:t>
      </w:r>
      <w:r>
        <w:rPr>
          <w:spacing w:val="-1"/>
        </w:rPr>
        <w:t> </w:t>
      </w:r>
      <w:r>
        <w:rPr/>
        <w:t>turn</w:t>
      </w:r>
      <w:r>
        <w:rPr>
          <w:spacing w:val="-1"/>
        </w:rPr>
        <w:t> </w:t>
      </w:r>
      <w:r>
        <w:rPr/>
        <w:t>associated</w:t>
      </w:r>
      <w:r>
        <w:rPr>
          <w:spacing w:val="-1"/>
        </w:rPr>
        <w:t> </w:t>
      </w:r>
      <w:r>
        <w:rPr/>
        <w:t>with</w:t>
      </w:r>
      <w:r>
        <w:rPr>
          <w:spacing w:val="-1"/>
        </w:rPr>
        <w:t> </w:t>
      </w:r>
      <w:r>
        <w:rPr/>
        <w:t>higher</w:t>
      </w:r>
      <w:r>
        <w:rPr>
          <w:spacing w:val="-1"/>
        </w:rPr>
        <w:t> </w:t>
      </w:r>
      <w:r>
        <w:rPr/>
        <w:t>battle</w:t>
      </w:r>
      <w:r>
        <w:rPr>
          <w:spacing w:val="-1"/>
        </w:rPr>
        <w:t> </w:t>
      </w:r>
      <w:r>
        <w:rPr/>
        <w:t>fatalities</w:t>
      </w:r>
      <w:r>
        <w:rPr>
          <w:spacing w:val="-1"/>
        </w:rPr>
        <w:t> </w:t>
      </w:r>
      <w:r>
        <w:rPr/>
        <w:t>in</w:t>
      </w:r>
      <w:r>
        <w:rPr>
          <w:spacing w:val="-1"/>
        </w:rPr>
        <w:t> </w:t>
      </w:r>
      <w:r>
        <w:rPr/>
        <w:t>low-intensity</w:t>
      </w:r>
      <w:r>
        <w:rPr>
          <w:spacing w:val="-1"/>
        </w:rPr>
        <w:t> </w:t>
      </w:r>
      <w:r>
        <w:rPr/>
        <w:t>conflict</w:t>
      </w:r>
      <w:r>
        <w:rPr>
          <w:spacing w:val="-1"/>
        </w:rPr>
        <w:t> </w:t>
      </w:r>
      <w:r>
        <w:rPr/>
        <w:t>states. We</w:t>
      </w:r>
      <w:r>
        <w:rPr>
          <w:spacing w:val="-1"/>
        </w:rPr>
        <w:t> </w:t>
      </w:r>
      <w:r>
        <w:rPr/>
        <w:t>contribute</w:t>
      </w:r>
      <w:r>
        <w:rPr>
          <w:spacing w:val="-1"/>
        </w:rPr>
        <w:t> </w:t>
      </w:r>
      <w:r>
        <w:rPr/>
        <w:t>to</w:t>
      </w:r>
      <w:r>
        <w:rPr>
          <w:spacing w:val="-1"/>
        </w:rPr>
        <w:t> </w:t>
      </w:r>
      <w:r>
        <w:rPr/>
        <w:t>the </w:t>
      </w:r>
      <w:r>
        <w:rPr>
          <w:spacing w:val="-2"/>
        </w:rPr>
        <w:t>literature</w:t>
      </w:r>
      <w:r>
        <w:rPr>
          <w:spacing w:val="-3"/>
        </w:rPr>
        <w:t> </w:t>
      </w:r>
      <w:r>
        <w:rPr>
          <w:spacing w:val="-2"/>
        </w:rPr>
        <w:t>by</w:t>
      </w:r>
      <w:r>
        <w:rPr>
          <w:spacing w:val="-3"/>
        </w:rPr>
        <w:t> </w:t>
      </w:r>
      <w:r>
        <w:rPr>
          <w:spacing w:val="-2"/>
        </w:rPr>
        <w:t>adding</w:t>
      </w:r>
      <w:r>
        <w:rPr>
          <w:spacing w:val="-3"/>
        </w:rPr>
        <w:t> </w:t>
      </w:r>
      <w:r>
        <w:rPr>
          <w:spacing w:val="-2"/>
        </w:rPr>
        <w:t>an</w:t>
      </w:r>
      <w:r>
        <w:rPr>
          <w:spacing w:val="-3"/>
        </w:rPr>
        <w:t> </w:t>
      </w:r>
      <w:r>
        <w:rPr>
          <w:spacing w:val="-2"/>
        </w:rPr>
        <w:t>important</w:t>
      </w:r>
      <w:r>
        <w:rPr>
          <w:spacing w:val="-3"/>
        </w:rPr>
        <w:t> </w:t>
      </w:r>
      <w:r>
        <w:rPr>
          <w:spacing w:val="-2"/>
        </w:rPr>
        <w:t>dimension, backed</w:t>
      </w:r>
      <w:r>
        <w:rPr>
          <w:spacing w:val="-3"/>
        </w:rPr>
        <w:t> </w:t>
      </w:r>
      <w:r>
        <w:rPr>
          <w:spacing w:val="-2"/>
        </w:rPr>
        <w:t>by</w:t>
      </w:r>
      <w:r>
        <w:rPr>
          <w:spacing w:val="-3"/>
        </w:rPr>
        <w:t> </w:t>
      </w:r>
      <w:r>
        <w:rPr>
          <w:spacing w:val="-2"/>
        </w:rPr>
        <w:t>empirical</w:t>
      </w:r>
      <w:r>
        <w:rPr>
          <w:spacing w:val="-3"/>
        </w:rPr>
        <w:t> </w:t>
      </w:r>
      <w:r>
        <w:rPr>
          <w:spacing w:val="-2"/>
        </w:rPr>
        <w:t>results, to</w:t>
      </w:r>
      <w:r>
        <w:rPr>
          <w:spacing w:val="-3"/>
        </w:rPr>
        <w:t> </w:t>
      </w:r>
      <w:r>
        <w:rPr>
          <w:spacing w:val="-2"/>
        </w:rPr>
        <w:t>our</w:t>
      </w:r>
      <w:r>
        <w:rPr>
          <w:spacing w:val="-3"/>
        </w:rPr>
        <w:t> </w:t>
      </w:r>
      <w:r>
        <w:rPr>
          <w:spacing w:val="-2"/>
        </w:rPr>
        <w:t>existing</w:t>
      </w:r>
      <w:r>
        <w:rPr>
          <w:spacing w:val="-3"/>
        </w:rPr>
        <w:t> </w:t>
      </w:r>
      <w:r>
        <w:rPr>
          <w:spacing w:val="-2"/>
        </w:rPr>
        <w:t>understanding </w:t>
      </w:r>
      <w:r>
        <w:rPr/>
        <w:t>of the so-called “oil curse,” and reiterate the important role global markets play in the development of intrastate conflicts.</w:t>
      </w:r>
    </w:p>
    <w:p>
      <w:pPr>
        <w:pStyle w:val="BodyText"/>
        <w:spacing w:line="316" w:lineRule="auto" w:before="133"/>
        <w:ind w:left="117" w:right="634" w:firstLine="298"/>
        <w:jc w:val="both"/>
      </w:pPr>
      <w:r>
        <w:rPr/>
        <w:pict>
          <v:shape style="position:absolute;margin-left:70.865997pt;margin-top:83.709915pt;width:179.75pt;height:.1pt;mso-position-horizontal-relative:page;mso-position-vertical-relative:paragraph;z-index:-15728128;mso-wrap-distance-left:0;mso-wrap-distance-right:0" id="docshape3" coordorigin="1417,1674" coordsize="3595,0" path="m1417,1674l5012,1674e" filled="false" stroked="true" strokeweight=".398pt" strokecolor="#000000">
            <v:path arrowok="t"/>
            <v:stroke dashstyle="solid"/>
            <w10:wrap type="topAndBottom"/>
          </v:shape>
        </w:pict>
      </w:r>
      <w:r>
        <w:rPr/>
        <w:t>The</w:t>
      </w:r>
      <w:r>
        <w:rPr>
          <w:spacing w:val="-8"/>
        </w:rPr>
        <w:t> </w:t>
      </w:r>
      <w:r>
        <w:rPr/>
        <w:t>remainder</w:t>
      </w:r>
      <w:r>
        <w:rPr>
          <w:spacing w:val="-8"/>
        </w:rPr>
        <w:t> </w:t>
      </w:r>
      <w:r>
        <w:rPr/>
        <w:t>of</w:t>
      </w:r>
      <w:r>
        <w:rPr>
          <w:spacing w:val="-8"/>
        </w:rPr>
        <w:t> </w:t>
      </w:r>
      <w:r>
        <w:rPr/>
        <w:t>this</w:t>
      </w:r>
      <w:r>
        <w:rPr>
          <w:spacing w:val="-8"/>
        </w:rPr>
        <w:t> </w:t>
      </w:r>
      <w:r>
        <w:rPr/>
        <w:t>paper</w:t>
      </w:r>
      <w:r>
        <w:rPr>
          <w:spacing w:val="-8"/>
        </w:rPr>
        <w:t> </w:t>
      </w:r>
      <w:r>
        <w:rPr/>
        <w:t>is</w:t>
      </w:r>
      <w:r>
        <w:rPr>
          <w:spacing w:val="-8"/>
        </w:rPr>
        <w:t> </w:t>
      </w:r>
      <w:r>
        <w:rPr/>
        <w:t>comprised</w:t>
      </w:r>
      <w:r>
        <w:rPr>
          <w:spacing w:val="-8"/>
        </w:rPr>
        <w:t> </w:t>
      </w:r>
      <w:r>
        <w:rPr/>
        <w:t>of</w:t>
      </w:r>
      <w:r>
        <w:rPr>
          <w:spacing w:val="-8"/>
        </w:rPr>
        <w:t> </w:t>
      </w:r>
      <w:r>
        <w:rPr/>
        <w:t>five</w:t>
      </w:r>
      <w:r>
        <w:rPr>
          <w:spacing w:val="-8"/>
        </w:rPr>
        <w:t> </w:t>
      </w:r>
      <w:r>
        <w:rPr/>
        <w:t>sections. Section</w:t>
      </w:r>
      <w:r>
        <w:rPr>
          <w:spacing w:val="-8"/>
        </w:rPr>
        <w:t> </w:t>
      </w:r>
      <w:r>
        <w:rPr/>
        <w:t>two</w:t>
      </w:r>
      <w:r>
        <w:rPr>
          <w:spacing w:val="-8"/>
        </w:rPr>
        <w:t> </w:t>
      </w:r>
      <w:r>
        <w:rPr/>
        <w:t>reviews</w:t>
      </w:r>
      <w:r>
        <w:rPr>
          <w:spacing w:val="-8"/>
        </w:rPr>
        <w:t> </w:t>
      </w:r>
      <w:r>
        <w:rPr/>
        <w:t>relevant</w:t>
      </w:r>
      <w:r>
        <w:rPr>
          <w:spacing w:val="-8"/>
        </w:rPr>
        <w:t> </w:t>
      </w:r>
      <w:r>
        <w:rPr/>
        <w:t>literature</w:t>
      </w:r>
      <w:r>
        <w:rPr>
          <w:spacing w:val="-8"/>
        </w:rPr>
        <w:t> </w:t>
      </w:r>
      <w:r>
        <w:rPr/>
        <w:t>on oil prices, conflict, and state capacity to provide context for our analyses.</w:t>
      </w:r>
      <w:r>
        <w:rPr>
          <w:spacing w:val="19"/>
        </w:rPr>
        <w:t> </w:t>
      </w:r>
      <w:r>
        <w:rPr/>
        <w:t>Section three follows this by defining</w:t>
      </w:r>
      <w:r>
        <w:rPr>
          <w:spacing w:val="-13"/>
        </w:rPr>
        <w:t> </w:t>
      </w:r>
      <w:r>
        <w:rPr/>
        <w:t>our</w:t>
      </w:r>
      <w:r>
        <w:rPr>
          <w:spacing w:val="-12"/>
        </w:rPr>
        <w:t> </w:t>
      </w:r>
      <w:r>
        <w:rPr/>
        <w:t>theoretical</w:t>
      </w:r>
      <w:r>
        <w:rPr>
          <w:spacing w:val="-12"/>
        </w:rPr>
        <w:t> </w:t>
      </w:r>
      <w:r>
        <w:rPr/>
        <w:t>approach</w:t>
      </w:r>
      <w:r>
        <w:rPr>
          <w:spacing w:val="-12"/>
        </w:rPr>
        <w:t> </w:t>
      </w:r>
      <w:r>
        <w:rPr/>
        <w:t>and</w:t>
      </w:r>
      <w:r>
        <w:rPr>
          <w:spacing w:val="-12"/>
        </w:rPr>
        <w:t> </w:t>
      </w:r>
      <w:r>
        <w:rPr/>
        <w:t>establishing</w:t>
      </w:r>
      <w:r>
        <w:rPr>
          <w:spacing w:val="-12"/>
        </w:rPr>
        <w:t> </w:t>
      </w:r>
      <w:r>
        <w:rPr/>
        <w:t>the</w:t>
      </w:r>
      <w:r>
        <w:rPr>
          <w:spacing w:val="-12"/>
        </w:rPr>
        <w:t> </w:t>
      </w:r>
      <w:r>
        <w:rPr/>
        <w:t>primary</w:t>
      </w:r>
      <w:r>
        <w:rPr>
          <w:spacing w:val="-12"/>
        </w:rPr>
        <w:t> </w:t>
      </w:r>
      <w:r>
        <w:rPr/>
        <w:t>hypotheses.</w:t>
      </w:r>
      <w:r>
        <w:rPr>
          <w:spacing w:val="-12"/>
        </w:rPr>
        <w:t> </w:t>
      </w:r>
      <w:r>
        <w:rPr/>
        <w:t>Section</w:t>
      </w:r>
      <w:r>
        <w:rPr>
          <w:spacing w:val="-12"/>
        </w:rPr>
        <w:t> </w:t>
      </w:r>
      <w:r>
        <w:rPr/>
        <w:t>four</w:t>
      </w:r>
      <w:r>
        <w:rPr>
          <w:spacing w:val="-12"/>
        </w:rPr>
        <w:t> </w:t>
      </w:r>
      <w:r>
        <w:rPr/>
        <w:t>and</w:t>
      </w:r>
      <w:r>
        <w:rPr>
          <w:spacing w:val="-12"/>
        </w:rPr>
        <w:t> </w:t>
      </w:r>
      <w:r>
        <w:rPr/>
        <w:t>five</w:t>
      </w:r>
      <w:r>
        <w:rPr>
          <w:spacing w:val="-12"/>
        </w:rPr>
        <w:t> </w:t>
      </w:r>
      <w:r>
        <w:rPr/>
        <w:t>lay</w:t>
      </w:r>
      <w:r>
        <w:rPr>
          <w:spacing w:val="-12"/>
        </w:rPr>
        <w:t> </w:t>
      </w:r>
      <w:r>
        <w:rPr/>
        <w:t>out the</w:t>
      </w:r>
      <w:r>
        <w:rPr>
          <w:spacing w:val="-3"/>
        </w:rPr>
        <w:t> </w:t>
      </w:r>
      <w:r>
        <w:rPr/>
        <w:t>data</w:t>
      </w:r>
      <w:r>
        <w:rPr>
          <w:spacing w:val="-3"/>
        </w:rPr>
        <w:t> </w:t>
      </w:r>
      <w:r>
        <w:rPr/>
        <w:t>used</w:t>
      </w:r>
      <w:r>
        <w:rPr>
          <w:spacing w:val="-3"/>
        </w:rPr>
        <w:t> </w:t>
      </w:r>
      <w:r>
        <w:rPr/>
        <w:t>to</w:t>
      </w:r>
      <w:r>
        <w:rPr>
          <w:spacing w:val="-3"/>
        </w:rPr>
        <w:t> </w:t>
      </w:r>
      <w:r>
        <w:rPr/>
        <w:t>test</w:t>
      </w:r>
      <w:r>
        <w:rPr>
          <w:spacing w:val="-3"/>
        </w:rPr>
        <w:t> </w:t>
      </w:r>
      <w:r>
        <w:rPr/>
        <w:t>the</w:t>
      </w:r>
      <w:r>
        <w:rPr>
          <w:spacing w:val="-3"/>
        </w:rPr>
        <w:t> </w:t>
      </w:r>
      <w:r>
        <w:rPr/>
        <w:t>hypotheses</w:t>
      </w:r>
      <w:r>
        <w:rPr>
          <w:spacing w:val="-3"/>
        </w:rPr>
        <w:t> </w:t>
      </w:r>
      <w:r>
        <w:rPr/>
        <w:t>and</w:t>
      </w:r>
      <w:r>
        <w:rPr>
          <w:spacing w:val="-3"/>
        </w:rPr>
        <w:t> </w:t>
      </w:r>
      <w:r>
        <w:rPr/>
        <w:t>present</w:t>
      </w:r>
      <w:r>
        <w:rPr>
          <w:spacing w:val="-3"/>
        </w:rPr>
        <w:t> </w:t>
      </w:r>
      <w:r>
        <w:rPr/>
        <w:t>the</w:t>
      </w:r>
      <w:r>
        <w:rPr>
          <w:spacing w:val="-3"/>
        </w:rPr>
        <w:t> </w:t>
      </w:r>
      <w:r>
        <w:rPr/>
        <w:t>results</w:t>
      </w:r>
      <w:r>
        <w:rPr>
          <w:spacing w:val="-3"/>
        </w:rPr>
        <w:t> </w:t>
      </w:r>
      <w:r>
        <w:rPr/>
        <w:t>of</w:t>
      </w:r>
      <w:r>
        <w:rPr>
          <w:spacing w:val="-3"/>
        </w:rPr>
        <w:t> </w:t>
      </w:r>
      <w:r>
        <w:rPr/>
        <w:t>the</w:t>
      </w:r>
      <w:r>
        <w:rPr>
          <w:spacing w:val="-3"/>
        </w:rPr>
        <w:t> </w:t>
      </w:r>
      <w:r>
        <w:rPr/>
        <w:t>empirical</w:t>
      </w:r>
      <w:r>
        <w:rPr>
          <w:spacing w:val="-3"/>
        </w:rPr>
        <w:t> </w:t>
      </w:r>
      <w:r>
        <w:rPr/>
        <w:t>evaluation. Lastly,</w:t>
      </w:r>
      <w:r>
        <w:rPr>
          <w:spacing w:val="-3"/>
        </w:rPr>
        <w:t> </w:t>
      </w:r>
      <w:r>
        <w:rPr/>
        <w:t>section six provides a key case study meant to help further illustrate the theoretical mechanisms we describe.</w:t>
      </w:r>
    </w:p>
    <w:p>
      <w:pPr>
        <w:spacing w:before="34"/>
        <w:ind w:left="339" w:right="0" w:firstLine="0"/>
        <w:jc w:val="left"/>
        <w:rPr>
          <w:rFonts w:ascii="Bookman Old Style"/>
          <w:b w:val="0"/>
          <w:sz w:val="16"/>
        </w:rPr>
      </w:pPr>
      <w:r>
        <w:rPr>
          <w:rFonts w:ascii="Bookman Old Style"/>
          <w:b w:val="0"/>
          <w:sz w:val="16"/>
          <w:vertAlign w:val="superscript"/>
        </w:rPr>
        <w:t>1</w:t>
      </w:r>
      <w:r>
        <w:rPr>
          <w:rFonts w:ascii="Bookman Old Style"/>
          <w:b w:val="0"/>
          <w:sz w:val="16"/>
          <w:vertAlign w:val="baseline"/>
        </w:rPr>
        <w:t>Ross</w:t>
      </w:r>
      <w:r>
        <w:rPr>
          <w:rFonts w:ascii="Bookman Old Style"/>
          <w:b w:val="0"/>
          <w:spacing w:val="-6"/>
          <w:sz w:val="16"/>
          <w:vertAlign w:val="baseline"/>
        </w:rPr>
        <w:t> </w:t>
      </w:r>
      <w:r>
        <w:rPr>
          <w:rFonts w:ascii="Bookman Old Style"/>
          <w:b w:val="0"/>
          <w:spacing w:val="-2"/>
          <w:sz w:val="16"/>
          <w:vertAlign w:val="baseline"/>
        </w:rPr>
        <w:t>(2012).</w:t>
      </w:r>
    </w:p>
    <w:p>
      <w:pPr>
        <w:spacing w:after="0"/>
        <w:jc w:val="left"/>
        <w:rPr>
          <w:rFonts w:ascii="Bookman Old Style"/>
          <w:sz w:val="16"/>
        </w:rPr>
        <w:sectPr>
          <w:pgSz w:w="12240" w:h="15840"/>
          <w:pgMar w:header="0" w:footer="1252" w:top="1040" w:bottom="1440" w:left="1300" w:right="1200"/>
        </w:sectPr>
      </w:pPr>
    </w:p>
    <w:p>
      <w:pPr>
        <w:pStyle w:val="Heading1"/>
        <w:numPr>
          <w:ilvl w:val="0"/>
          <w:numId w:val="1"/>
        </w:numPr>
        <w:tabs>
          <w:tab w:pos="601" w:val="left" w:leader="none"/>
          <w:tab w:pos="602" w:val="left" w:leader="none"/>
        </w:tabs>
        <w:spacing w:line="240" w:lineRule="auto" w:before="36" w:after="0"/>
        <w:ind w:left="601" w:right="0" w:hanging="485"/>
        <w:jc w:val="left"/>
      </w:pPr>
      <w:r>
        <w:rPr/>
        <w:t>Literature</w:t>
      </w:r>
      <w:r>
        <w:rPr>
          <w:spacing w:val="10"/>
        </w:rPr>
        <w:t> </w:t>
      </w:r>
      <w:r>
        <w:rPr/>
        <w:t>on</w:t>
      </w:r>
      <w:r>
        <w:rPr>
          <w:spacing w:val="10"/>
        </w:rPr>
        <w:t> </w:t>
      </w:r>
      <w:r>
        <w:rPr/>
        <w:t>Oil</w:t>
      </w:r>
      <w:r>
        <w:rPr>
          <w:spacing w:val="10"/>
        </w:rPr>
        <w:t> </w:t>
      </w:r>
      <w:r>
        <w:rPr/>
        <w:t>Prices</w:t>
      </w:r>
      <w:r>
        <w:rPr>
          <w:spacing w:val="11"/>
        </w:rPr>
        <w:t> </w:t>
      </w:r>
      <w:r>
        <w:rPr/>
        <w:t>and</w:t>
      </w:r>
      <w:r>
        <w:rPr>
          <w:spacing w:val="10"/>
        </w:rPr>
        <w:t> </w:t>
      </w:r>
      <w:r>
        <w:rPr/>
        <w:t>Civil</w:t>
      </w:r>
      <w:r>
        <w:rPr>
          <w:spacing w:val="10"/>
        </w:rPr>
        <w:t> </w:t>
      </w:r>
      <w:r>
        <w:rPr>
          <w:spacing w:val="-2"/>
        </w:rPr>
        <w:t>Conflict</w:t>
      </w:r>
    </w:p>
    <w:p>
      <w:pPr>
        <w:pStyle w:val="BodyText"/>
        <w:spacing w:line="300" w:lineRule="auto" w:before="251"/>
        <w:ind w:left="117" w:right="633" w:firstLine="298"/>
        <w:jc w:val="both"/>
      </w:pPr>
      <w:r>
        <w:rPr/>
        <w:t>Many examinations of oil and civil conflict focus on rebel incentives.</w:t>
      </w:r>
      <w:r>
        <w:rPr>
          <w:spacing w:val="40"/>
        </w:rPr>
        <w:t> </w:t>
      </w:r>
      <w:r>
        <w:rPr/>
        <w:t>The notion that natural re- sources would provide a valuable “prize”</w:t>
      </w:r>
      <w:r>
        <w:rPr>
          <w:rFonts w:ascii="Century Gothic" w:hAnsi="Century Gothic"/>
          <w:vertAlign w:val="superscript"/>
        </w:rPr>
        <w:t>2</w:t>
      </w:r>
      <w:r>
        <w:rPr>
          <w:rFonts w:ascii="Century Gothic" w:hAnsi="Century Gothic"/>
          <w:vertAlign w:val="baseline"/>
        </w:rPr>
        <w:t> </w:t>
      </w:r>
      <w:r>
        <w:rPr>
          <w:vertAlign w:val="baseline"/>
        </w:rPr>
        <w:t>or an opportunity to make conflict more viable by offsetting the costs of rebellion</w:t>
      </w:r>
      <w:r>
        <w:rPr>
          <w:rFonts w:ascii="Century Gothic" w:hAnsi="Century Gothic"/>
          <w:vertAlign w:val="superscript"/>
        </w:rPr>
        <w:t>3</w:t>
      </w:r>
      <w:r>
        <w:rPr>
          <w:rFonts w:ascii="Century Gothic" w:hAnsi="Century Gothic"/>
          <w:vertAlign w:val="baseline"/>
        </w:rPr>
        <w:t> </w:t>
      </w:r>
      <w:r>
        <w:rPr>
          <w:vertAlign w:val="baseline"/>
        </w:rPr>
        <w:t>is well founded in the literature.</w:t>
      </w:r>
      <w:r>
        <w:rPr>
          <w:spacing w:val="30"/>
          <w:vertAlign w:val="baseline"/>
        </w:rPr>
        <w:t> </w:t>
      </w:r>
      <w:r>
        <w:rPr>
          <w:vertAlign w:val="baseline"/>
        </w:rPr>
        <w:t>Scholars have likewise examined the potential linkage</w:t>
      </w:r>
      <w:r>
        <w:rPr>
          <w:spacing w:val="-3"/>
          <w:vertAlign w:val="baseline"/>
        </w:rPr>
        <w:t> </w:t>
      </w:r>
      <w:r>
        <w:rPr>
          <w:vertAlign w:val="baseline"/>
        </w:rPr>
        <w:t>between</w:t>
      </w:r>
      <w:r>
        <w:rPr>
          <w:spacing w:val="-3"/>
          <w:vertAlign w:val="baseline"/>
        </w:rPr>
        <w:t> </w:t>
      </w:r>
      <w:r>
        <w:rPr>
          <w:vertAlign w:val="baseline"/>
        </w:rPr>
        <w:t>other</w:t>
      </w:r>
      <w:r>
        <w:rPr>
          <w:spacing w:val="-3"/>
          <w:vertAlign w:val="baseline"/>
        </w:rPr>
        <w:t> </w:t>
      </w:r>
      <w:r>
        <w:rPr>
          <w:vertAlign w:val="baseline"/>
        </w:rPr>
        <w:t>lootable</w:t>
      </w:r>
      <w:r>
        <w:rPr>
          <w:spacing w:val="-3"/>
          <w:vertAlign w:val="baseline"/>
        </w:rPr>
        <w:t> </w:t>
      </w:r>
      <w:r>
        <w:rPr>
          <w:vertAlign w:val="baseline"/>
        </w:rPr>
        <w:t>natural</w:t>
      </w:r>
      <w:r>
        <w:rPr>
          <w:spacing w:val="-3"/>
          <w:vertAlign w:val="baseline"/>
        </w:rPr>
        <w:t> </w:t>
      </w:r>
      <w:r>
        <w:rPr>
          <w:vertAlign w:val="baseline"/>
        </w:rPr>
        <w:t>resources</w:t>
      </w:r>
      <w:r>
        <w:rPr>
          <w:spacing w:val="-3"/>
          <w:vertAlign w:val="baseline"/>
        </w:rPr>
        <w:t> </w:t>
      </w:r>
      <w:r>
        <w:rPr>
          <w:vertAlign w:val="baseline"/>
        </w:rPr>
        <w:t>and</w:t>
      </w:r>
      <w:r>
        <w:rPr>
          <w:spacing w:val="-3"/>
          <w:vertAlign w:val="baseline"/>
        </w:rPr>
        <w:t> </w:t>
      </w:r>
      <w:r>
        <w:rPr>
          <w:vertAlign w:val="baseline"/>
        </w:rPr>
        <w:t>conflict</w:t>
      </w:r>
      <w:r>
        <w:rPr>
          <w:spacing w:val="-3"/>
          <w:vertAlign w:val="baseline"/>
        </w:rPr>
        <w:t> </w:t>
      </w:r>
      <w:r>
        <w:rPr>
          <w:vertAlign w:val="baseline"/>
        </w:rPr>
        <w:t>onset,</w:t>
      </w:r>
      <w:r>
        <w:rPr>
          <w:spacing w:val="-2"/>
          <w:vertAlign w:val="baseline"/>
        </w:rPr>
        <w:t> </w:t>
      </w:r>
      <w:r>
        <w:rPr>
          <w:vertAlign w:val="baseline"/>
        </w:rPr>
        <w:t>with</w:t>
      </w:r>
      <w:r>
        <w:rPr>
          <w:spacing w:val="-3"/>
          <w:vertAlign w:val="baseline"/>
        </w:rPr>
        <w:t> </w:t>
      </w:r>
      <w:r>
        <w:rPr>
          <w:vertAlign w:val="baseline"/>
        </w:rPr>
        <w:t>mixed</w:t>
      </w:r>
      <w:r>
        <w:rPr>
          <w:spacing w:val="-3"/>
          <w:vertAlign w:val="baseline"/>
        </w:rPr>
        <w:t> </w:t>
      </w:r>
      <w:r>
        <w:rPr>
          <w:vertAlign w:val="baseline"/>
        </w:rPr>
        <w:t>results.</w:t>
      </w:r>
      <w:r>
        <w:rPr>
          <w:rFonts w:ascii="Century Gothic" w:hAnsi="Century Gothic"/>
          <w:vertAlign w:val="superscript"/>
        </w:rPr>
        <w:t>4</w:t>
      </w:r>
      <w:r>
        <w:rPr>
          <w:rFonts w:ascii="Century Gothic" w:hAnsi="Century Gothic"/>
          <w:spacing w:val="18"/>
          <w:vertAlign w:val="baseline"/>
        </w:rPr>
        <w:t> </w:t>
      </w:r>
      <w:r>
        <w:rPr>
          <w:vertAlign w:val="baseline"/>
        </w:rPr>
        <w:t>For</w:t>
      </w:r>
      <w:r>
        <w:rPr>
          <w:spacing w:val="-3"/>
          <w:vertAlign w:val="baseline"/>
        </w:rPr>
        <w:t> </w:t>
      </w:r>
      <w:r>
        <w:rPr>
          <w:vertAlign w:val="baseline"/>
        </w:rPr>
        <w:t>instance, work</w:t>
      </w:r>
      <w:r>
        <w:rPr>
          <w:spacing w:val="-2"/>
          <w:vertAlign w:val="baseline"/>
        </w:rPr>
        <w:t> </w:t>
      </w:r>
      <w:r>
        <w:rPr>
          <w:vertAlign w:val="baseline"/>
        </w:rPr>
        <w:t>has</w:t>
      </w:r>
      <w:r>
        <w:rPr>
          <w:spacing w:val="-2"/>
          <w:vertAlign w:val="baseline"/>
        </w:rPr>
        <w:t> </w:t>
      </w:r>
      <w:r>
        <w:rPr>
          <w:vertAlign w:val="baseline"/>
        </w:rPr>
        <w:t>found</w:t>
      </w:r>
      <w:r>
        <w:rPr>
          <w:spacing w:val="-2"/>
          <w:vertAlign w:val="baseline"/>
        </w:rPr>
        <w:t> </w:t>
      </w:r>
      <w:r>
        <w:rPr>
          <w:vertAlign w:val="baseline"/>
        </w:rPr>
        <w:t>that</w:t>
      </w:r>
      <w:r>
        <w:rPr>
          <w:spacing w:val="-2"/>
          <w:vertAlign w:val="baseline"/>
        </w:rPr>
        <w:t> </w:t>
      </w:r>
      <w:r>
        <w:rPr>
          <w:vertAlign w:val="baseline"/>
        </w:rPr>
        <w:t>loss</w:t>
      </w:r>
      <w:r>
        <w:rPr>
          <w:spacing w:val="-2"/>
          <w:vertAlign w:val="baseline"/>
        </w:rPr>
        <w:t> </w:t>
      </w:r>
      <w:r>
        <w:rPr>
          <w:vertAlign w:val="baseline"/>
        </w:rPr>
        <w:t>of</w:t>
      </w:r>
      <w:r>
        <w:rPr>
          <w:spacing w:val="-2"/>
          <w:vertAlign w:val="baseline"/>
        </w:rPr>
        <w:t> </w:t>
      </w:r>
      <w:r>
        <w:rPr>
          <w:vertAlign w:val="baseline"/>
        </w:rPr>
        <w:t>income</w:t>
      </w:r>
      <w:r>
        <w:rPr>
          <w:spacing w:val="-2"/>
          <w:vertAlign w:val="baseline"/>
        </w:rPr>
        <w:t> </w:t>
      </w:r>
      <w:r>
        <w:rPr>
          <w:vertAlign w:val="baseline"/>
        </w:rPr>
        <w:t>(in</w:t>
      </w:r>
      <w:r>
        <w:rPr>
          <w:spacing w:val="-2"/>
          <w:vertAlign w:val="baseline"/>
        </w:rPr>
        <w:t> </w:t>
      </w:r>
      <w:r>
        <w:rPr>
          <w:vertAlign w:val="baseline"/>
        </w:rPr>
        <w:t>their</w:t>
      </w:r>
      <w:r>
        <w:rPr>
          <w:spacing w:val="-2"/>
          <w:vertAlign w:val="baseline"/>
        </w:rPr>
        <w:t> </w:t>
      </w:r>
      <w:r>
        <w:rPr>
          <w:vertAlign w:val="baseline"/>
        </w:rPr>
        <w:t>case</w:t>
      </w:r>
      <w:r>
        <w:rPr>
          <w:spacing w:val="-2"/>
          <w:vertAlign w:val="baseline"/>
        </w:rPr>
        <w:t> </w:t>
      </w:r>
      <w:r>
        <w:rPr>
          <w:vertAlign w:val="baseline"/>
        </w:rPr>
        <w:t>from</w:t>
      </w:r>
      <w:r>
        <w:rPr>
          <w:spacing w:val="-2"/>
          <w:vertAlign w:val="baseline"/>
        </w:rPr>
        <w:t> </w:t>
      </w:r>
      <w:r>
        <w:rPr>
          <w:vertAlign w:val="baseline"/>
        </w:rPr>
        <w:t>labour-intensive</w:t>
      </w:r>
      <w:r>
        <w:rPr>
          <w:spacing w:val="-2"/>
          <w:vertAlign w:val="baseline"/>
        </w:rPr>
        <w:t> </w:t>
      </w:r>
      <w:r>
        <w:rPr>
          <w:vertAlign w:val="baseline"/>
        </w:rPr>
        <w:t>agriculture)</w:t>
      </w:r>
      <w:r>
        <w:rPr>
          <w:spacing w:val="-2"/>
          <w:vertAlign w:val="baseline"/>
        </w:rPr>
        <w:t> </w:t>
      </w:r>
      <w:r>
        <w:rPr>
          <w:vertAlign w:val="baseline"/>
        </w:rPr>
        <w:t>can</w:t>
      </w:r>
      <w:r>
        <w:rPr>
          <w:spacing w:val="-2"/>
          <w:vertAlign w:val="baseline"/>
        </w:rPr>
        <w:t> </w:t>
      </w:r>
      <w:r>
        <w:rPr>
          <w:vertAlign w:val="baseline"/>
        </w:rPr>
        <w:t>serve</w:t>
      </w:r>
      <w:r>
        <w:rPr>
          <w:spacing w:val="-2"/>
          <w:vertAlign w:val="baseline"/>
        </w:rPr>
        <w:t> </w:t>
      </w:r>
      <w:r>
        <w:rPr>
          <w:vertAlign w:val="baseline"/>
        </w:rPr>
        <w:t>as</w:t>
      </w:r>
      <w:r>
        <w:rPr>
          <w:spacing w:val="-2"/>
          <w:vertAlign w:val="baseline"/>
        </w:rPr>
        <w:t> </w:t>
      </w:r>
      <w:r>
        <w:rPr>
          <w:vertAlign w:val="baseline"/>
        </w:rPr>
        <w:t>a</w:t>
      </w:r>
      <w:r>
        <w:rPr>
          <w:spacing w:val="-2"/>
          <w:vertAlign w:val="baseline"/>
        </w:rPr>
        <w:t> </w:t>
      </w:r>
      <w:r>
        <w:rPr>
          <w:vertAlign w:val="baseline"/>
        </w:rPr>
        <w:t>cat- alyst for conflict when it impacts a politically marginalized ethnic group.</w:t>
      </w:r>
      <w:r>
        <w:rPr>
          <w:rFonts w:ascii="Century Gothic" w:hAnsi="Century Gothic"/>
          <w:vertAlign w:val="superscript"/>
        </w:rPr>
        <w:t>5</w:t>
      </w:r>
      <w:r>
        <w:rPr>
          <w:rFonts w:ascii="Century Gothic" w:hAnsi="Century Gothic"/>
          <w:spacing w:val="40"/>
          <w:vertAlign w:val="baseline"/>
        </w:rPr>
        <w:t> </w:t>
      </w:r>
      <w:r>
        <w:rPr>
          <w:vertAlign w:val="baseline"/>
        </w:rPr>
        <w:t>There has been a specific interest on the role that oil plays in conflict.</w:t>
      </w:r>
      <w:r>
        <w:rPr>
          <w:spacing w:val="24"/>
          <w:vertAlign w:val="baseline"/>
        </w:rPr>
        <w:t> </w:t>
      </w:r>
      <w:r>
        <w:rPr>
          <w:vertAlign w:val="baseline"/>
        </w:rPr>
        <w:t>The “oil curse” is a theory that has received considerable attention</w:t>
      </w:r>
      <w:r>
        <w:rPr>
          <w:spacing w:val="-3"/>
          <w:vertAlign w:val="baseline"/>
        </w:rPr>
        <w:t> </w:t>
      </w:r>
      <w:r>
        <w:rPr>
          <w:vertAlign w:val="baseline"/>
        </w:rPr>
        <w:t>in</w:t>
      </w:r>
      <w:r>
        <w:rPr>
          <w:spacing w:val="-3"/>
          <w:vertAlign w:val="baseline"/>
        </w:rPr>
        <w:t> </w:t>
      </w:r>
      <w:r>
        <w:rPr>
          <w:vertAlign w:val="baseline"/>
        </w:rPr>
        <w:t>the</w:t>
      </w:r>
      <w:r>
        <w:rPr>
          <w:spacing w:val="-3"/>
          <w:vertAlign w:val="baseline"/>
        </w:rPr>
        <w:t> </w:t>
      </w:r>
      <w:r>
        <w:rPr>
          <w:vertAlign w:val="baseline"/>
        </w:rPr>
        <w:t>literature,</w:t>
      </w:r>
      <w:r>
        <w:rPr>
          <w:spacing w:val="-3"/>
          <w:vertAlign w:val="baseline"/>
        </w:rPr>
        <w:t> </w:t>
      </w:r>
      <w:r>
        <w:rPr>
          <w:vertAlign w:val="baseline"/>
        </w:rPr>
        <w:t>focusing</w:t>
      </w:r>
      <w:r>
        <w:rPr>
          <w:spacing w:val="-3"/>
          <w:vertAlign w:val="baseline"/>
        </w:rPr>
        <w:t> </w:t>
      </w:r>
      <w:r>
        <w:rPr>
          <w:vertAlign w:val="baseline"/>
        </w:rPr>
        <w:t>primarily</w:t>
      </w:r>
      <w:r>
        <w:rPr>
          <w:spacing w:val="-3"/>
          <w:vertAlign w:val="baseline"/>
        </w:rPr>
        <w:t> </w:t>
      </w:r>
      <w:r>
        <w:rPr>
          <w:vertAlign w:val="baseline"/>
        </w:rPr>
        <w:t>on</w:t>
      </w:r>
      <w:r>
        <w:rPr>
          <w:spacing w:val="-4"/>
          <w:vertAlign w:val="baseline"/>
        </w:rPr>
        <w:t> </w:t>
      </w:r>
      <w:r>
        <w:rPr>
          <w:vertAlign w:val="baseline"/>
        </w:rPr>
        <w:t>intrastate</w:t>
      </w:r>
      <w:r>
        <w:rPr>
          <w:spacing w:val="-3"/>
          <w:vertAlign w:val="baseline"/>
        </w:rPr>
        <w:t> </w:t>
      </w:r>
      <w:r>
        <w:rPr>
          <w:vertAlign w:val="baseline"/>
        </w:rPr>
        <w:t>conflict</w:t>
      </w:r>
      <w:r>
        <w:rPr>
          <w:spacing w:val="-3"/>
          <w:vertAlign w:val="baseline"/>
        </w:rPr>
        <w:t> </w:t>
      </w:r>
      <w:r>
        <w:rPr>
          <w:vertAlign w:val="baseline"/>
        </w:rPr>
        <w:t>onset.</w:t>
      </w:r>
      <w:r>
        <w:rPr>
          <w:rFonts w:ascii="Century Gothic" w:hAnsi="Century Gothic"/>
          <w:vertAlign w:val="superscript"/>
        </w:rPr>
        <w:t>6</w:t>
      </w:r>
      <w:r>
        <w:rPr>
          <w:rFonts w:ascii="Century Gothic" w:hAnsi="Century Gothic"/>
          <w:vertAlign w:val="baseline"/>
        </w:rPr>
        <w:t> </w:t>
      </w:r>
      <w:r>
        <w:rPr>
          <w:vertAlign w:val="baseline"/>
        </w:rPr>
        <w:t>Some</w:t>
      </w:r>
      <w:r>
        <w:rPr>
          <w:spacing w:val="-3"/>
          <w:vertAlign w:val="baseline"/>
        </w:rPr>
        <w:t> </w:t>
      </w:r>
      <w:r>
        <w:rPr>
          <w:vertAlign w:val="baseline"/>
        </w:rPr>
        <w:t>leading</w:t>
      </w:r>
      <w:r>
        <w:rPr>
          <w:spacing w:val="-3"/>
          <w:vertAlign w:val="baseline"/>
        </w:rPr>
        <w:t> </w:t>
      </w:r>
      <w:r>
        <w:rPr>
          <w:vertAlign w:val="baseline"/>
        </w:rPr>
        <w:t>scholars</w:t>
      </w:r>
      <w:r>
        <w:rPr>
          <w:spacing w:val="-3"/>
          <w:vertAlign w:val="baseline"/>
        </w:rPr>
        <w:t> </w:t>
      </w:r>
      <w:r>
        <w:rPr>
          <w:vertAlign w:val="baseline"/>
        </w:rPr>
        <w:t>such as</w:t>
      </w:r>
      <w:r>
        <w:rPr>
          <w:spacing w:val="-4"/>
          <w:vertAlign w:val="baseline"/>
        </w:rPr>
        <w:t> </w:t>
      </w:r>
      <w:r>
        <w:rPr>
          <w:vertAlign w:val="baseline"/>
        </w:rPr>
        <w:t>Ross</w:t>
      </w:r>
      <w:r>
        <w:rPr>
          <w:rFonts w:ascii="Century Gothic" w:hAnsi="Century Gothic"/>
          <w:vertAlign w:val="superscript"/>
        </w:rPr>
        <w:t>7</w:t>
      </w:r>
      <w:r>
        <w:rPr>
          <w:rFonts w:ascii="Century Gothic" w:hAnsi="Century Gothic"/>
          <w:spacing w:val="-6"/>
          <w:vertAlign w:val="baseline"/>
        </w:rPr>
        <w:t> </w:t>
      </w:r>
      <w:r>
        <w:rPr>
          <w:vertAlign w:val="baseline"/>
        </w:rPr>
        <w:t>argue</w:t>
      </w:r>
      <w:r>
        <w:rPr>
          <w:spacing w:val="-4"/>
          <w:vertAlign w:val="baseline"/>
        </w:rPr>
        <w:t> </w:t>
      </w:r>
      <w:r>
        <w:rPr>
          <w:vertAlign w:val="baseline"/>
        </w:rPr>
        <w:t>that</w:t>
      </w:r>
      <w:r>
        <w:rPr>
          <w:spacing w:val="-4"/>
          <w:vertAlign w:val="baseline"/>
        </w:rPr>
        <w:t> </w:t>
      </w:r>
      <w:r>
        <w:rPr>
          <w:vertAlign w:val="baseline"/>
        </w:rPr>
        <w:t>the</w:t>
      </w:r>
      <w:r>
        <w:rPr>
          <w:spacing w:val="-4"/>
          <w:vertAlign w:val="baseline"/>
        </w:rPr>
        <w:t> </w:t>
      </w:r>
      <w:r>
        <w:rPr>
          <w:vertAlign w:val="baseline"/>
        </w:rPr>
        <w:t>presence</w:t>
      </w:r>
      <w:r>
        <w:rPr>
          <w:spacing w:val="-4"/>
          <w:vertAlign w:val="baseline"/>
        </w:rPr>
        <w:t> </w:t>
      </w:r>
      <w:r>
        <w:rPr>
          <w:vertAlign w:val="baseline"/>
        </w:rPr>
        <w:t>of</w:t>
      </w:r>
      <w:r>
        <w:rPr>
          <w:spacing w:val="-4"/>
          <w:vertAlign w:val="baseline"/>
        </w:rPr>
        <w:t> </w:t>
      </w:r>
      <w:r>
        <w:rPr>
          <w:vertAlign w:val="baseline"/>
        </w:rPr>
        <w:t>on-shore</w:t>
      </w:r>
      <w:r>
        <w:rPr>
          <w:spacing w:val="-4"/>
          <w:vertAlign w:val="baseline"/>
        </w:rPr>
        <w:t> </w:t>
      </w:r>
      <w:r>
        <w:rPr>
          <w:vertAlign w:val="baseline"/>
        </w:rPr>
        <w:t>oil</w:t>
      </w:r>
      <w:r>
        <w:rPr>
          <w:spacing w:val="-4"/>
          <w:vertAlign w:val="baseline"/>
        </w:rPr>
        <w:t> </w:t>
      </w:r>
      <w:r>
        <w:rPr>
          <w:vertAlign w:val="baseline"/>
        </w:rPr>
        <w:t>production</w:t>
      </w:r>
      <w:r>
        <w:rPr>
          <w:spacing w:val="-4"/>
          <w:vertAlign w:val="baseline"/>
        </w:rPr>
        <w:t> </w:t>
      </w:r>
      <w:r>
        <w:rPr>
          <w:vertAlign w:val="baseline"/>
        </w:rPr>
        <w:t>provides</w:t>
      </w:r>
      <w:r>
        <w:rPr>
          <w:spacing w:val="-4"/>
          <w:vertAlign w:val="baseline"/>
        </w:rPr>
        <w:t> </w:t>
      </w:r>
      <w:r>
        <w:rPr>
          <w:vertAlign w:val="baseline"/>
        </w:rPr>
        <w:t>a</w:t>
      </w:r>
      <w:r>
        <w:rPr>
          <w:spacing w:val="-4"/>
          <w:vertAlign w:val="baseline"/>
        </w:rPr>
        <w:t> </w:t>
      </w:r>
      <w:r>
        <w:rPr>
          <w:vertAlign w:val="baseline"/>
        </w:rPr>
        <w:t>financial</w:t>
      </w:r>
      <w:r>
        <w:rPr>
          <w:spacing w:val="-4"/>
          <w:vertAlign w:val="baseline"/>
        </w:rPr>
        <w:t> </w:t>
      </w:r>
      <w:r>
        <w:rPr>
          <w:vertAlign w:val="baseline"/>
        </w:rPr>
        <w:t>incentive</w:t>
      </w:r>
      <w:r>
        <w:rPr>
          <w:spacing w:val="-4"/>
          <w:vertAlign w:val="baseline"/>
        </w:rPr>
        <w:t> </w:t>
      </w:r>
      <w:r>
        <w:rPr>
          <w:vertAlign w:val="baseline"/>
        </w:rPr>
        <w:t>for</w:t>
      </w:r>
      <w:r>
        <w:rPr>
          <w:spacing w:val="-4"/>
          <w:vertAlign w:val="baseline"/>
        </w:rPr>
        <w:t> </w:t>
      </w:r>
      <w:r>
        <w:rPr>
          <w:vertAlign w:val="baseline"/>
        </w:rPr>
        <w:t>would-be rebels and opposition forces to resort to armed conflict.</w:t>
      </w:r>
    </w:p>
    <w:p>
      <w:pPr>
        <w:pStyle w:val="BodyText"/>
        <w:spacing w:line="304" w:lineRule="auto" w:before="156"/>
        <w:ind w:left="117" w:right="633" w:firstLine="298"/>
        <w:jc w:val="both"/>
      </w:pPr>
      <w:r>
        <w:rPr/>
        <w:t>We</w:t>
      </w:r>
      <w:r>
        <w:rPr>
          <w:spacing w:val="-11"/>
        </w:rPr>
        <w:t> </w:t>
      </w:r>
      <w:r>
        <w:rPr/>
        <w:t>hypothesize</w:t>
      </w:r>
      <w:r>
        <w:rPr>
          <w:spacing w:val="-11"/>
        </w:rPr>
        <w:t> </w:t>
      </w:r>
      <w:r>
        <w:rPr/>
        <w:t>that</w:t>
      </w:r>
      <w:r>
        <w:rPr>
          <w:spacing w:val="-11"/>
        </w:rPr>
        <w:t> </w:t>
      </w:r>
      <w:r>
        <w:rPr/>
        <w:t>the</w:t>
      </w:r>
      <w:r>
        <w:rPr>
          <w:spacing w:val="-11"/>
        </w:rPr>
        <w:t> </w:t>
      </w:r>
      <w:r>
        <w:rPr/>
        <w:t>price</w:t>
      </w:r>
      <w:r>
        <w:rPr>
          <w:spacing w:val="-11"/>
        </w:rPr>
        <w:t> </w:t>
      </w:r>
      <w:r>
        <w:rPr/>
        <w:t>of</w:t>
      </w:r>
      <w:r>
        <w:rPr>
          <w:spacing w:val="-11"/>
        </w:rPr>
        <w:t> </w:t>
      </w:r>
      <w:r>
        <w:rPr/>
        <w:t>oil</w:t>
      </w:r>
      <w:r>
        <w:rPr>
          <w:spacing w:val="-11"/>
        </w:rPr>
        <w:t> </w:t>
      </w:r>
      <w:r>
        <w:rPr/>
        <w:t>does</w:t>
      </w:r>
      <w:r>
        <w:rPr>
          <w:spacing w:val="-11"/>
        </w:rPr>
        <w:t> </w:t>
      </w:r>
      <w:r>
        <w:rPr/>
        <w:t>not</w:t>
      </w:r>
      <w:r>
        <w:rPr>
          <w:spacing w:val="-11"/>
        </w:rPr>
        <w:t> </w:t>
      </w:r>
      <w:r>
        <w:rPr/>
        <w:t>meaningfully</w:t>
      </w:r>
      <w:r>
        <w:rPr>
          <w:spacing w:val="-11"/>
        </w:rPr>
        <w:t> </w:t>
      </w:r>
      <w:r>
        <w:rPr/>
        <w:t>affect</w:t>
      </w:r>
      <w:r>
        <w:rPr>
          <w:spacing w:val="-11"/>
        </w:rPr>
        <w:t> </w:t>
      </w:r>
      <w:r>
        <w:rPr/>
        <w:t>the</w:t>
      </w:r>
      <w:r>
        <w:rPr>
          <w:spacing w:val="-11"/>
        </w:rPr>
        <w:t> </w:t>
      </w:r>
      <w:r>
        <w:rPr/>
        <w:t>incentive</w:t>
      </w:r>
      <w:r>
        <w:rPr>
          <w:spacing w:val="-11"/>
        </w:rPr>
        <w:t> </w:t>
      </w:r>
      <w:r>
        <w:rPr/>
        <w:t>of</w:t>
      </w:r>
      <w:r>
        <w:rPr>
          <w:spacing w:val="-11"/>
        </w:rPr>
        <w:t> </w:t>
      </w:r>
      <w:r>
        <w:rPr/>
        <w:t>potential</w:t>
      </w:r>
      <w:r>
        <w:rPr>
          <w:spacing w:val="-11"/>
        </w:rPr>
        <w:t> </w:t>
      </w:r>
      <w:r>
        <w:rPr/>
        <w:t>separatist rebels.</w:t>
      </w:r>
      <w:r>
        <w:rPr>
          <w:spacing w:val="40"/>
        </w:rPr>
        <w:t> </w:t>
      </w:r>
      <w:r>
        <w:rPr/>
        <w:t>Those with very poor economic opportunities - i.e.</w:t>
      </w:r>
      <w:r>
        <w:rPr>
          <w:spacing w:val="40"/>
        </w:rPr>
        <w:t> </w:t>
      </w:r>
      <w:r>
        <w:rPr/>
        <w:t>a lack of alternatives - will be similarly enticed by potential spoils from oil revenue regardless of prices.</w:t>
      </w:r>
      <w:r>
        <w:rPr>
          <w:rFonts w:ascii="Century Gothic"/>
          <w:vertAlign w:val="superscript"/>
        </w:rPr>
        <w:t>8</w:t>
      </w:r>
      <w:r>
        <w:rPr>
          <w:rFonts w:ascii="Century Gothic"/>
          <w:spacing w:val="31"/>
          <w:vertAlign w:val="baseline"/>
        </w:rPr>
        <w:t> </w:t>
      </w:r>
      <w:r>
        <w:rPr>
          <w:vertAlign w:val="baseline"/>
        </w:rPr>
        <w:t>Rebels would still get a larger share of</w:t>
      </w:r>
      <w:r>
        <w:rPr>
          <w:spacing w:val="-2"/>
          <w:vertAlign w:val="baseline"/>
        </w:rPr>
        <w:t> </w:t>
      </w:r>
      <w:r>
        <w:rPr>
          <w:vertAlign w:val="baseline"/>
        </w:rPr>
        <w:t>the</w:t>
      </w:r>
      <w:r>
        <w:rPr>
          <w:spacing w:val="-2"/>
          <w:vertAlign w:val="baseline"/>
        </w:rPr>
        <w:t> </w:t>
      </w:r>
      <w:r>
        <w:rPr>
          <w:vertAlign w:val="baseline"/>
        </w:rPr>
        <w:t>revenue</w:t>
      </w:r>
      <w:r>
        <w:rPr>
          <w:spacing w:val="-2"/>
          <w:vertAlign w:val="baseline"/>
        </w:rPr>
        <w:t> </w:t>
      </w:r>
      <w:r>
        <w:rPr>
          <w:vertAlign w:val="baseline"/>
        </w:rPr>
        <w:t>if</w:t>
      </w:r>
      <w:r>
        <w:rPr>
          <w:spacing w:val="-2"/>
          <w:vertAlign w:val="baseline"/>
        </w:rPr>
        <w:t> </w:t>
      </w:r>
      <w:r>
        <w:rPr>
          <w:vertAlign w:val="baseline"/>
        </w:rPr>
        <w:t>they</w:t>
      </w:r>
      <w:r>
        <w:rPr>
          <w:spacing w:val="-2"/>
          <w:vertAlign w:val="baseline"/>
        </w:rPr>
        <w:t> </w:t>
      </w:r>
      <w:r>
        <w:rPr>
          <w:vertAlign w:val="baseline"/>
        </w:rPr>
        <w:t>alone</w:t>
      </w:r>
      <w:r>
        <w:rPr>
          <w:spacing w:val="-2"/>
          <w:vertAlign w:val="baseline"/>
        </w:rPr>
        <w:t> </w:t>
      </w:r>
      <w:r>
        <w:rPr>
          <w:vertAlign w:val="baseline"/>
        </w:rPr>
        <w:t>controlled</w:t>
      </w:r>
      <w:r>
        <w:rPr>
          <w:spacing w:val="-2"/>
          <w:vertAlign w:val="baseline"/>
        </w:rPr>
        <w:t> </w:t>
      </w:r>
      <w:r>
        <w:rPr>
          <w:vertAlign w:val="baseline"/>
        </w:rPr>
        <w:t>the</w:t>
      </w:r>
      <w:r>
        <w:rPr>
          <w:spacing w:val="-2"/>
          <w:vertAlign w:val="baseline"/>
        </w:rPr>
        <w:t> </w:t>
      </w:r>
      <w:r>
        <w:rPr>
          <w:vertAlign w:val="baseline"/>
        </w:rPr>
        <w:t>oil</w:t>
      </w:r>
      <w:r>
        <w:rPr>
          <w:spacing w:val="-2"/>
          <w:vertAlign w:val="baseline"/>
        </w:rPr>
        <w:t> </w:t>
      </w:r>
      <w:r>
        <w:rPr>
          <w:vertAlign w:val="baseline"/>
        </w:rPr>
        <w:t>reserves</w:t>
      </w:r>
      <w:r>
        <w:rPr>
          <w:spacing w:val="-2"/>
          <w:vertAlign w:val="baseline"/>
        </w:rPr>
        <w:t> </w:t>
      </w:r>
      <w:r>
        <w:rPr>
          <w:vertAlign w:val="baseline"/>
        </w:rPr>
        <w:t>instead</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existing</w:t>
      </w:r>
      <w:r>
        <w:rPr>
          <w:spacing w:val="-2"/>
          <w:vertAlign w:val="baseline"/>
        </w:rPr>
        <w:t> </w:t>
      </w:r>
      <w:r>
        <w:rPr>
          <w:vertAlign w:val="baseline"/>
        </w:rPr>
        <w:t>central</w:t>
      </w:r>
      <w:r>
        <w:rPr>
          <w:spacing w:val="-2"/>
          <w:vertAlign w:val="baseline"/>
        </w:rPr>
        <w:t> </w:t>
      </w:r>
      <w:r>
        <w:rPr>
          <w:vertAlign w:val="baseline"/>
        </w:rPr>
        <w:t>government.</w:t>
      </w:r>
      <w:r>
        <w:rPr>
          <w:spacing w:val="17"/>
          <w:vertAlign w:val="baseline"/>
        </w:rPr>
        <w:t> </w:t>
      </w:r>
      <w:r>
        <w:rPr>
          <w:vertAlign w:val="baseline"/>
        </w:rPr>
        <w:t>This mechanism</w:t>
      </w:r>
      <w:r>
        <w:rPr>
          <w:spacing w:val="-3"/>
          <w:vertAlign w:val="baseline"/>
        </w:rPr>
        <w:t> </w:t>
      </w:r>
      <w:r>
        <w:rPr>
          <w:vertAlign w:val="baseline"/>
        </w:rPr>
        <w:t>occurs</w:t>
      </w:r>
      <w:r>
        <w:rPr>
          <w:spacing w:val="-3"/>
          <w:vertAlign w:val="baseline"/>
        </w:rPr>
        <w:t> </w:t>
      </w:r>
      <w:r>
        <w:rPr>
          <w:vertAlign w:val="baseline"/>
        </w:rPr>
        <w:t>irrespective</w:t>
      </w:r>
      <w:r>
        <w:rPr>
          <w:spacing w:val="-3"/>
          <w:vertAlign w:val="baseline"/>
        </w:rPr>
        <w:t> </w:t>
      </w:r>
      <w:r>
        <w:rPr>
          <w:vertAlign w:val="baseline"/>
        </w:rPr>
        <w:t>of</w:t>
      </w:r>
      <w:r>
        <w:rPr>
          <w:spacing w:val="-3"/>
          <w:vertAlign w:val="baseline"/>
        </w:rPr>
        <w:t> </w:t>
      </w:r>
      <w:r>
        <w:rPr>
          <w:vertAlign w:val="baseline"/>
        </w:rPr>
        <w:t>prices.</w:t>
      </w:r>
      <w:r>
        <w:rPr>
          <w:rFonts w:ascii="Century Gothic"/>
          <w:vertAlign w:val="superscript"/>
        </w:rPr>
        <w:t>9</w:t>
      </w:r>
      <w:r>
        <w:rPr>
          <w:rFonts w:ascii="Century Gothic"/>
          <w:spacing w:val="11"/>
          <w:vertAlign w:val="baseline"/>
        </w:rPr>
        <w:t> </w:t>
      </w:r>
      <w:r>
        <w:rPr>
          <w:vertAlign w:val="baseline"/>
        </w:rPr>
        <w:t>Thus</w:t>
      </w:r>
      <w:r>
        <w:rPr>
          <w:spacing w:val="-3"/>
          <w:vertAlign w:val="baseline"/>
        </w:rPr>
        <w:t> </w:t>
      </w:r>
      <w:r>
        <w:rPr>
          <w:vertAlign w:val="baseline"/>
        </w:rPr>
        <w:t>we</w:t>
      </w:r>
      <w:r>
        <w:rPr>
          <w:spacing w:val="-3"/>
          <w:vertAlign w:val="baseline"/>
        </w:rPr>
        <w:t> </w:t>
      </w:r>
      <w:r>
        <w:rPr>
          <w:vertAlign w:val="baseline"/>
        </w:rPr>
        <w:t>consider</w:t>
      </w:r>
      <w:r>
        <w:rPr>
          <w:spacing w:val="-3"/>
          <w:vertAlign w:val="baseline"/>
        </w:rPr>
        <w:t> </w:t>
      </w:r>
      <w:r>
        <w:rPr>
          <w:vertAlign w:val="baseline"/>
        </w:rPr>
        <w:t>rebels</w:t>
      </w:r>
      <w:r>
        <w:rPr>
          <w:spacing w:val="-3"/>
          <w:vertAlign w:val="baseline"/>
        </w:rPr>
        <w:t> </w:t>
      </w:r>
      <w:r>
        <w:rPr>
          <w:vertAlign w:val="baseline"/>
        </w:rPr>
        <w:t>to</w:t>
      </w:r>
      <w:r>
        <w:rPr>
          <w:spacing w:val="-3"/>
          <w:vertAlign w:val="baseline"/>
        </w:rPr>
        <w:t> </w:t>
      </w:r>
      <w:r>
        <w:rPr>
          <w:vertAlign w:val="baseline"/>
        </w:rPr>
        <w:t>be</w:t>
      </w:r>
      <w:r>
        <w:rPr>
          <w:spacing w:val="-3"/>
          <w:vertAlign w:val="baseline"/>
        </w:rPr>
        <w:t> </w:t>
      </w:r>
      <w:r>
        <w:rPr>
          <w:vertAlign w:val="baseline"/>
        </w:rPr>
        <w:t>insensitive</w:t>
      </w:r>
      <w:r>
        <w:rPr>
          <w:spacing w:val="-3"/>
          <w:vertAlign w:val="baseline"/>
        </w:rPr>
        <w:t> </w:t>
      </w:r>
      <w:r>
        <w:rPr>
          <w:vertAlign w:val="baseline"/>
        </w:rPr>
        <w:t>to</w:t>
      </w:r>
      <w:r>
        <w:rPr>
          <w:spacing w:val="-3"/>
          <w:vertAlign w:val="baseline"/>
        </w:rPr>
        <w:t> </w:t>
      </w:r>
      <w:r>
        <w:rPr>
          <w:vertAlign w:val="baseline"/>
        </w:rPr>
        <w:t>oil</w:t>
      </w:r>
      <w:r>
        <w:rPr>
          <w:spacing w:val="-3"/>
          <w:vertAlign w:val="baseline"/>
        </w:rPr>
        <w:t> </w:t>
      </w:r>
      <w:r>
        <w:rPr>
          <w:vertAlign w:val="baseline"/>
        </w:rPr>
        <w:t>price</w:t>
      </w:r>
      <w:r>
        <w:rPr>
          <w:spacing w:val="-3"/>
          <w:vertAlign w:val="baseline"/>
        </w:rPr>
        <w:t> </w:t>
      </w:r>
      <w:r>
        <w:rPr>
          <w:vertAlign w:val="baseline"/>
        </w:rPr>
        <w:t>shocks.</w:t>
      </w:r>
    </w:p>
    <w:p>
      <w:pPr>
        <w:pStyle w:val="BodyText"/>
        <w:spacing w:line="307" w:lineRule="auto" w:before="147"/>
        <w:ind w:left="117" w:right="633" w:firstLine="298"/>
        <w:jc w:val="both"/>
      </w:pPr>
      <w:r>
        <w:rPr/>
        <w:t>In contrast to the incentive approach described above, some find that oil revenue can increase a state’s ability to “pay off” opposition and thus lower the probability of civil conflict.</w:t>
      </w:r>
      <w:r>
        <w:rPr>
          <w:rFonts w:ascii="Century Gothic" w:hAnsi="Century Gothic"/>
          <w:vertAlign w:val="superscript"/>
        </w:rPr>
        <w:t>10</w:t>
      </w:r>
      <w:r>
        <w:rPr>
          <w:rFonts w:ascii="Century Gothic" w:hAnsi="Century Gothic"/>
          <w:spacing w:val="40"/>
          <w:vertAlign w:val="baseline"/>
        </w:rPr>
        <w:t> </w:t>
      </w:r>
      <w:r>
        <w:rPr>
          <w:vertAlign w:val="baseline"/>
        </w:rPr>
        <w:t>This suggests there are multiple potential mechanisms to understand oil’s effect on conflict, particularly relating to the</w:t>
      </w:r>
      <w:r>
        <w:rPr>
          <w:spacing w:val="-7"/>
          <w:vertAlign w:val="baseline"/>
        </w:rPr>
        <w:t> </w:t>
      </w:r>
      <w:r>
        <w:rPr>
          <w:vertAlign w:val="baseline"/>
        </w:rPr>
        <w:t>resources</w:t>
      </w:r>
      <w:r>
        <w:rPr>
          <w:spacing w:val="-6"/>
          <w:vertAlign w:val="baseline"/>
        </w:rPr>
        <w:t> </w:t>
      </w:r>
      <w:r>
        <w:rPr>
          <w:vertAlign w:val="baseline"/>
        </w:rPr>
        <w:t>at</w:t>
      </w:r>
      <w:r>
        <w:rPr>
          <w:spacing w:val="-6"/>
          <w:vertAlign w:val="baseline"/>
        </w:rPr>
        <w:t> </w:t>
      </w:r>
      <w:r>
        <w:rPr>
          <w:vertAlign w:val="baseline"/>
        </w:rPr>
        <w:t>the</w:t>
      </w:r>
      <w:r>
        <w:rPr>
          <w:spacing w:val="-6"/>
          <w:vertAlign w:val="baseline"/>
        </w:rPr>
        <w:t> </w:t>
      </w:r>
      <w:r>
        <w:rPr>
          <w:vertAlign w:val="baseline"/>
        </w:rPr>
        <w:t>disposal</w:t>
      </w:r>
      <w:r>
        <w:rPr>
          <w:spacing w:val="-6"/>
          <w:vertAlign w:val="baseline"/>
        </w:rPr>
        <w:t> </w:t>
      </w:r>
      <w:r>
        <w:rPr>
          <w:vertAlign w:val="baseline"/>
        </w:rPr>
        <w:t>of</w:t>
      </w:r>
      <w:r>
        <w:rPr>
          <w:spacing w:val="-6"/>
          <w:vertAlign w:val="baseline"/>
        </w:rPr>
        <w:t> </w:t>
      </w:r>
      <w:r>
        <w:rPr>
          <w:vertAlign w:val="baseline"/>
        </w:rPr>
        <w:t>the</w:t>
      </w:r>
      <w:r>
        <w:rPr>
          <w:spacing w:val="-6"/>
          <w:vertAlign w:val="baseline"/>
        </w:rPr>
        <w:t> </w:t>
      </w:r>
      <w:r>
        <w:rPr>
          <w:vertAlign w:val="baseline"/>
        </w:rPr>
        <w:t>state</w:t>
      </w:r>
      <w:r>
        <w:rPr>
          <w:spacing w:val="-6"/>
          <w:vertAlign w:val="baseline"/>
        </w:rPr>
        <w:t> </w:t>
      </w:r>
      <w:r>
        <w:rPr>
          <w:vertAlign w:val="baseline"/>
        </w:rPr>
        <w:t>and</w:t>
      </w:r>
      <w:r>
        <w:rPr>
          <w:spacing w:val="-7"/>
          <w:vertAlign w:val="baseline"/>
        </w:rPr>
        <w:t> </w:t>
      </w:r>
      <w:r>
        <w:rPr>
          <w:vertAlign w:val="baseline"/>
        </w:rPr>
        <w:t>how</w:t>
      </w:r>
      <w:r>
        <w:rPr>
          <w:spacing w:val="-6"/>
          <w:vertAlign w:val="baseline"/>
        </w:rPr>
        <w:t> </w:t>
      </w:r>
      <w:r>
        <w:rPr>
          <w:vertAlign w:val="baseline"/>
        </w:rPr>
        <w:t>this</w:t>
      </w:r>
      <w:r>
        <w:rPr>
          <w:spacing w:val="-6"/>
          <w:vertAlign w:val="baseline"/>
        </w:rPr>
        <w:t> </w:t>
      </w:r>
      <w:r>
        <w:rPr>
          <w:vertAlign w:val="baseline"/>
        </w:rPr>
        <w:t>impacts</w:t>
      </w:r>
      <w:r>
        <w:rPr>
          <w:spacing w:val="-6"/>
          <w:vertAlign w:val="baseline"/>
        </w:rPr>
        <w:t> </w:t>
      </w:r>
      <w:r>
        <w:rPr>
          <w:vertAlign w:val="baseline"/>
        </w:rPr>
        <w:t>whether</w:t>
      </w:r>
      <w:r>
        <w:rPr>
          <w:spacing w:val="-6"/>
          <w:vertAlign w:val="baseline"/>
        </w:rPr>
        <w:t> </w:t>
      </w:r>
      <w:r>
        <w:rPr>
          <w:vertAlign w:val="baseline"/>
        </w:rPr>
        <w:t>or</w:t>
      </w:r>
      <w:r>
        <w:rPr>
          <w:spacing w:val="-6"/>
          <w:vertAlign w:val="baseline"/>
        </w:rPr>
        <w:t> </w:t>
      </w:r>
      <w:r>
        <w:rPr>
          <w:vertAlign w:val="baseline"/>
        </w:rPr>
        <w:t>not</w:t>
      </w:r>
      <w:r>
        <w:rPr>
          <w:spacing w:val="-6"/>
          <w:vertAlign w:val="baseline"/>
        </w:rPr>
        <w:t> </w:t>
      </w:r>
      <w:r>
        <w:rPr>
          <w:vertAlign w:val="baseline"/>
        </w:rPr>
        <w:t>it</w:t>
      </w:r>
      <w:r>
        <w:rPr>
          <w:spacing w:val="-6"/>
          <w:vertAlign w:val="baseline"/>
        </w:rPr>
        <w:t> </w:t>
      </w:r>
      <w:r>
        <w:rPr>
          <w:vertAlign w:val="baseline"/>
        </w:rPr>
        <w:t>can</w:t>
      </w:r>
      <w:r>
        <w:rPr>
          <w:spacing w:val="-7"/>
          <w:vertAlign w:val="baseline"/>
        </w:rPr>
        <w:t> </w:t>
      </w:r>
      <w:r>
        <w:rPr>
          <w:vertAlign w:val="baseline"/>
        </w:rPr>
        <w:t>stave</w:t>
      </w:r>
      <w:r>
        <w:rPr>
          <w:spacing w:val="-6"/>
          <w:vertAlign w:val="baseline"/>
        </w:rPr>
        <w:t> </w:t>
      </w:r>
      <w:r>
        <w:rPr>
          <w:vertAlign w:val="baseline"/>
        </w:rPr>
        <w:t>off</w:t>
      </w:r>
      <w:r>
        <w:rPr>
          <w:spacing w:val="-6"/>
          <w:vertAlign w:val="baseline"/>
        </w:rPr>
        <w:t> </w:t>
      </w:r>
      <w:r>
        <w:rPr>
          <w:spacing w:val="-2"/>
          <w:vertAlign w:val="baseline"/>
        </w:rPr>
        <w:t>rebellions.</w:t>
      </w:r>
    </w:p>
    <w:p>
      <w:pPr>
        <w:pStyle w:val="BodyText"/>
        <w:spacing w:line="302" w:lineRule="auto" w:before="151"/>
        <w:ind w:left="117" w:right="634" w:firstLine="298"/>
        <w:jc w:val="both"/>
        <w:rPr>
          <w:rFonts w:ascii="Century Gothic"/>
        </w:rPr>
      </w:pPr>
      <w:r>
        <w:rPr>
          <w:spacing w:val="-2"/>
        </w:rPr>
        <w:t>Oil,</w:t>
      </w:r>
      <w:r>
        <w:rPr>
          <w:spacing w:val="-3"/>
        </w:rPr>
        <w:t> </w:t>
      </w:r>
      <w:r>
        <w:rPr>
          <w:spacing w:val="-2"/>
        </w:rPr>
        <w:t>like</w:t>
      </w:r>
      <w:r>
        <w:rPr>
          <w:spacing w:val="-6"/>
        </w:rPr>
        <w:t> </w:t>
      </w:r>
      <w:r>
        <w:rPr>
          <w:spacing w:val="-2"/>
        </w:rPr>
        <w:t>other</w:t>
      </w:r>
      <w:r>
        <w:rPr>
          <w:spacing w:val="-6"/>
        </w:rPr>
        <w:t> </w:t>
      </w:r>
      <w:r>
        <w:rPr>
          <w:spacing w:val="-2"/>
        </w:rPr>
        <w:t>commodities,</w:t>
      </w:r>
      <w:r>
        <w:rPr>
          <w:spacing w:val="-3"/>
        </w:rPr>
        <w:t> </w:t>
      </w:r>
      <w:r>
        <w:rPr>
          <w:spacing w:val="-2"/>
        </w:rPr>
        <w:t>varies</w:t>
      </w:r>
      <w:r>
        <w:rPr>
          <w:spacing w:val="-6"/>
        </w:rPr>
        <w:t> </w:t>
      </w:r>
      <w:r>
        <w:rPr>
          <w:spacing w:val="-2"/>
        </w:rPr>
        <w:t>in</w:t>
      </w:r>
      <w:r>
        <w:rPr>
          <w:spacing w:val="-6"/>
        </w:rPr>
        <w:t> </w:t>
      </w:r>
      <w:r>
        <w:rPr>
          <w:spacing w:val="-2"/>
        </w:rPr>
        <w:t>pricing</w:t>
      </w:r>
      <w:r>
        <w:rPr>
          <w:spacing w:val="-6"/>
        </w:rPr>
        <w:t> </w:t>
      </w:r>
      <w:r>
        <w:rPr>
          <w:spacing w:val="-2"/>
        </w:rPr>
        <w:t>which</w:t>
      </w:r>
      <w:r>
        <w:rPr>
          <w:spacing w:val="-6"/>
        </w:rPr>
        <w:t> </w:t>
      </w:r>
      <w:r>
        <w:rPr>
          <w:spacing w:val="-2"/>
        </w:rPr>
        <w:t>begs</w:t>
      </w:r>
      <w:r>
        <w:rPr>
          <w:spacing w:val="-6"/>
        </w:rPr>
        <w:t> </w:t>
      </w:r>
      <w:r>
        <w:rPr>
          <w:spacing w:val="-2"/>
        </w:rPr>
        <w:t>the</w:t>
      </w:r>
      <w:r>
        <w:rPr>
          <w:spacing w:val="-6"/>
        </w:rPr>
        <w:t> </w:t>
      </w:r>
      <w:r>
        <w:rPr>
          <w:spacing w:val="-2"/>
        </w:rPr>
        <w:t>question</w:t>
      </w:r>
      <w:r>
        <w:rPr>
          <w:spacing w:val="-6"/>
        </w:rPr>
        <w:t> </w:t>
      </w:r>
      <w:r>
        <w:rPr>
          <w:spacing w:val="-2"/>
        </w:rPr>
        <w:t>as</w:t>
      </w:r>
      <w:r>
        <w:rPr>
          <w:spacing w:val="-6"/>
        </w:rPr>
        <w:t> </w:t>
      </w:r>
      <w:r>
        <w:rPr>
          <w:spacing w:val="-2"/>
        </w:rPr>
        <w:t>to</w:t>
      </w:r>
      <w:r>
        <w:rPr>
          <w:spacing w:val="-5"/>
        </w:rPr>
        <w:t> </w:t>
      </w:r>
      <w:r>
        <w:rPr>
          <w:spacing w:val="-2"/>
        </w:rPr>
        <w:t>whether</w:t>
      </w:r>
      <w:r>
        <w:rPr>
          <w:spacing w:val="-6"/>
        </w:rPr>
        <w:t> </w:t>
      </w:r>
      <w:r>
        <w:rPr>
          <w:spacing w:val="-2"/>
        </w:rPr>
        <w:t>its</w:t>
      </w:r>
      <w:r>
        <w:rPr>
          <w:spacing w:val="-5"/>
        </w:rPr>
        <w:t> </w:t>
      </w:r>
      <w:r>
        <w:rPr>
          <w:spacing w:val="-2"/>
        </w:rPr>
        <w:t>value</w:t>
      </w:r>
      <w:r>
        <w:rPr>
          <w:spacing w:val="-6"/>
        </w:rPr>
        <w:t> </w:t>
      </w:r>
      <w:r>
        <w:rPr>
          <w:spacing w:val="-2"/>
        </w:rPr>
        <w:t>to</w:t>
      </w:r>
      <w:r>
        <w:rPr>
          <w:spacing w:val="-6"/>
        </w:rPr>
        <w:t> </w:t>
      </w:r>
      <w:r>
        <w:rPr>
          <w:spacing w:val="-2"/>
        </w:rPr>
        <w:t>rebels </w:t>
      </w:r>
      <w:r>
        <w:rPr/>
        <w:t>and</w:t>
      </w:r>
      <w:r>
        <w:rPr>
          <w:spacing w:val="-1"/>
        </w:rPr>
        <w:t> </w:t>
      </w:r>
      <w:r>
        <w:rPr/>
        <w:t>states</w:t>
      </w:r>
      <w:r>
        <w:rPr>
          <w:spacing w:val="-1"/>
        </w:rPr>
        <w:t> </w:t>
      </w:r>
      <w:r>
        <w:rPr/>
        <w:t>likewise</w:t>
      </w:r>
      <w:r>
        <w:rPr>
          <w:spacing w:val="-1"/>
        </w:rPr>
        <w:t> </w:t>
      </w:r>
      <w:r>
        <w:rPr/>
        <w:t>varies.</w:t>
      </w:r>
      <w:r>
        <w:rPr>
          <w:spacing w:val="26"/>
        </w:rPr>
        <w:t> </w:t>
      </w:r>
      <w:r>
        <w:rPr/>
        <w:t>While</w:t>
      </w:r>
      <w:r>
        <w:rPr>
          <w:spacing w:val="-1"/>
        </w:rPr>
        <w:t> </w:t>
      </w:r>
      <w:r>
        <w:rPr/>
        <w:t>other</w:t>
      </w:r>
      <w:r>
        <w:rPr>
          <w:spacing w:val="-1"/>
        </w:rPr>
        <w:t> </w:t>
      </w:r>
      <w:r>
        <w:rPr/>
        <w:t>researchers</w:t>
      </w:r>
      <w:r>
        <w:rPr>
          <w:spacing w:val="-1"/>
        </w:rPr>
        <w:t> </w:t>
      </w:r>
      <w:r>
        <w:rPr/>
        <w:t>have</w:t>
      </w:r>
      <w:r>
        <w:rPr>
          <w:spacing w:val="-1"/>
        </w:rPr>
        <w:t> </w:t>
      </w:r>
      <w:r>
        <w:rPr/>
        <w:t>examined</w:t>
      </w:r>
      <w:r>
        <w:rPr>
          <w:spacing w:val="-1"/>
        </w:rPr>
        <w:t> </w:t>
      </w:r>
      <w:r>
        <w:rPr/>
        <w:t>the</w:t>
      </w:r>
      <w:r>
        <w:rPr>
          <w:spacing w:val="-1"/>
        </w:rPr>
        <w:t> </w:t>
      </w:r>
      <w:r>
        <w:rPr/>
        <w:t>linkages</w:t>
      </w:r>
      <w:r>
        <w:rPr>
          <w:spacing w:val="-1"/>
        </w:rPr>
        <w:t> </w:t>
      </w:r>
      <w:r>
        <w:rPr/>
        <w:t>between</w:t>
      </w:r>
      <w:r>
        <w:rPr>
          <w:spacing w:val="-1"/>
        </w:rPr>
        <w:t> </w:t>
      </w:r>
      <w:r>
        <w:rPr/>
        <w:t>oil</w:t>
      </w:r>
      <w:r>
        <w:rPr>
          <w:spacing w:val="-1"/>
        </w:rPr>
        <w:t> </w:t>
      </w:r>
      <w:r>
        <w:rPr/>
        <w:t>prices</w:t>
      </w:r>
      <w:r>
        <w:rPr>
          <w:spacing w:val="-1"/>
        </w:rPr>
        <w:t> </w:t>
      </w:r>
      <w:r>
        <w:rPr/>
        <w:t>and conflict,</w:t>
      </w:r>
      <w:r>
        <w:rPr>
          <w:spacing w:val="-5"/>
        </w:rPr>
        <w:t> </w:t>
      </w:r>
      <w:r>
        <w:rPr/>
        <w:t>they</w:t>
      </w:r>
      <w:r>
        <w:rPr>
          <w:spacing w:val="-5"/>
        </w:rPr>
        <w:t> </w:t>
      </w:r>
      <w:r>
        <w:rPr/>
        <w:t>have</w:t>
      </w:r>
      <w:r>
        <w:rPr>
          <w:spacing w:val="-5"/>
        </w:rPr>
        <w:t> </w:t>
      </w:r>
      <w:r>
        <w:rPr/>
        <w:t>often</w:t>
      </w:r>
      <w:r>
        <w:rPr>
          <w:spacing w:val="-5"/>
        </w:rPr>
        <w:t> </w:t>
      </w:r>
      <w:r>
        <w:rPr/>
        <w:t>exclusively</w:t>
      </w:r>
      <w:r>
        <w:rPr>
          <w:spacing w:val="-5"/>
        </w:rPr>
        <w:t> </w:t>
      </w:r>
      <w:r>
        <w:rPr/>
        <w:t>focused</w:t>
      </w:r>
      <w:r>
        <w:rPr>
          <w:spacing w:val="-5"/>
        </w:rPr>
        <w:t> </w:t>
      </w:r>
      <w:r>
        <w:rPr/>
        <w:t>on</w:t>
      </w:r>
      <w:r>
        <w:rPr>
          <w:spacing w:val="-5"/>
        </w:rPr>
        <w:t> </w:t>
      </w:r>
      <w:r>
        <w:rPr/>
        <w:t>interstate</w:t>
      </w:r>
      <w:r>
        <w:rPr>
          <w:spacing w:val="-5"/>
        </w:rPr>
        <w:t> </w:t>
      </w:r>
      <w:r>
        <w:rPr/>
        <w:t>conflicts.</w:t>
      </w:r>
      <w:r>
        <w:rPr>
          <w:rFonts w:ascii="Century Gothic"/>
          <w:vertAlign w:val="superscript"/>
        </w:rPr>
        <w:t>11</w:t>
      </w:r>
      <w:r>
        <w:rPr>
          <w:rFonts w:ascii="Century Gothic"/>
          <w:vertAlign w:val="baseline"/>
        </w:rPr>
        <w:t> </w:t>
      </w:r>
      <w:r>
        <w:rPr>
          <w:vertAlign w:val="baseline"/>
        </w:rPr>
        <w:t>Increases</w:t>
      </w:r>
      <w:r>
        <w:rPr>
          <w:spacing w:val="-5"/>
          <w:vertAlign w:val="baseline"/>
        </w:rPr>
        <w:t> </w:t>
      </w:r>
      <w:r>
        <w:rPr>
          <w:vertAlign w:val="baseline"/>
        </w:rPr>
        <w:t>in</w:t>
      </w:r>
      <w:r>
        <w:rPr>
          <w:spacing w:val="-5"/>
          <w:vertAlign w:val="baseline"/>
        </w:rPr>
        <w:t> </w:t>
      </w:r>
      <w:r>
        <w:rPr>
          <w:vertAlign w:val="baseline"/>
        </w:rPr>
        <w:t>the</w:t>
      </w:r>
      <w:r>
        <w:rPr>
          <w:spacing w:val="-5"/>
          <w:vertAlign w:val="baseline"/>
        </w:rPr>
        <w:t> </w:t>
      </w:r>
      <w:r>
        <w:rPr>
          <w:vertAlign w:val="baseline"/>
        </w:rPr>
        <w:t>price</w:t>
      </w:r>
      <w:r>
        <w:rPr>
          <w:spacing w:val="-5"/>
          <w:vertAlign w:val="baseline"/>
        </w:rPr>
        <w:t> </w:t>
      </w:r>
      <w:r>
        <w:rPr>
          <w:vertAlign w:val="baseline"/>
        </w:rPr>
        <w:t>of</w:t>
      </w:r>
      <w:r>
        <w:rPr>
          <w:spacing w:val="-5"/>
          <w:vertAlign w:val="baseline"/>
        </w:rPr>
        <w:t> </w:t>
      </w:r>
      <w:r>
        <w:rPr>
          <w:vertAlign w:val="baseline"/>
        </w:rPr>
        <w:t>oil</w:t>
      </w:r>
      <w:r>
        <w:rPr>
          <w:spacing w:val="-5"/>
          <w:vertAlign w:val="baseline"/>
        </w:rPr>
        <w:t> </w:t>
      </w:r>
      <w:r>
        <w:rPr>
          <w:vertAlign w:val="baseline"/>
        </w:rPr>
        <w:t>can</w:t>
      </w:r>
      <w:r>
        <w:rPr>
          <w:spacing w:val="-5"/>
          <w:vertAlign w:val="baseline"/>
        </w:rPr>
        <w:t> </w:t>
      </w:r>
      <w:r>
        <w:rPr>
          <w:vertAlign w:val="baseline"/>
        </w:rPr>
        <w:t>in fact lead to an increase in state capacity, in the form of military capacity used in interstate conflict.</w:t>
      </w:r>
      <w:r>
        <w:rPr>
          <w:rFonts w:ascii="Century Gothic"/>
          <w:vertAlign w:val="superscript"/>
        </w:rPr>
        <w:t>12</w:t>
      </w:r>
      <w:r>
        <w:rPr>
          <w:rFonts w:ascii="Century Gothic"/>
          <w:vertAlign w:val="baseline"/>
        </w:rPr>
        <w:t> </w:t>
      </w:r>
      <w:r>
        <w:rPr>
          <w:vertAlign w:val="baseline"/>
        </w:rPr>
        <w:t>Positive resource shocks, however, could also allow the state to strengthen its security measures and control and suppress or buy off internal rebellion.</w:t>
      </w:r>
      <w:r>
        <w:rPr>
          <w:rFonts w:ascii="Century Gothic"/>
          <w:vertAlign w:val="superscript"/>
        </w:rPr>
        <w:t>13</w:t>
      </w:r>
    </w:p>
    <w:p>
      <w:pPr>
        <w:pStyle w:val="BodyText"/>
        <w:spacing w:line="304" w:lineRule="auto" w:before="149"/>
        <w:ind w:left="117" w:right="633" w:firstLine="298"/>
        <w:jc w:val="both"/>
      </w:pPr>
      <w:r>
        <w:rPr/>
        <w:pict>
          <v:shape style="position:absolute;margin-left:70.865997pt;margin-top:84.509911pt;width:179.75pt;height:.1pt;mso-position-horizontal-relative:page;mso-position-vertical-relative:paragraph;z-index:-15727616;mso-wrap-distance-left:0;mso-wrap-distance-right:0" id="docshape4" coordorigin="1417,1690" coordsize="3595,0" path="m1417,1690l5012,1690e" filled="false" stroked="true" strokeweight=".398pt" strokecolor="#000000">
            <v:path arrowok="t"/>
            <v:stroke dashstyle="solid"/>
            <w10:wrap type="topAndBottom"/>
          </v:shape>
        </w:pict>
      </w:r>
      <w:r>
        <w:rPr/>
        <w:t>There</w:t>
      </w:r>
      <w:r>
        <w:rPr>
          <w:spacing w:val="-10"/>
        </w:rPr>
        <w:t> </w:t>
      </w:r>
      <w:r>
        <w:rPr/>
        <w:t>are</w:t>
      </w:r>
      <w:r>
        <w:rPr>
          <w:spacing w:val="-10"/>
        </w:rPr>
        <w:t> </w:t>
      </w:r>
      <w:r>
        <w:rPr/>
        <w:t>indeed</w:t>
      </w:r>
      <w:r>
        <w:rPr>
          <w:spacing w:val="-10"/>
        </w:rPr>
        <w:t> </w:t>
      </w:r>
      <w:r>
        <w:rPr/>
        <w:t>some</w:t>
      </w:r>
      <w:r>
        <w:rPr>
          <w:spacing w:val="-10"/>
        </w:rPr>
        <w:t> </w:t>
      </w:r>
      <w:r>
        <w:rPr/>
        <w:t>studies</w:t>
      </w:r>
      <w:r>
        <w:rPr>
          <w:spacing w:val="-10"/>
        </w:rPr>
        <w:t> </w:t>
      </w:r>
      <w:r>
        <w:rPr/>
        <w:t>that</w:t>
      </w:r>
      <w:r>
        <w:rPr>
          <w:spacing w:val="-10"/>
        </w:rPr>
        <w:t> </w:t>
      </w:r>
      <w:r>
        <w:rPr/>
        <w:t>have</w:t>
      </w:r>
      <w:r>
        <w:rPr>
          <w:spacing w:val="-10"/>
        </w:rPr>
        <w:t> </w:t>
      </w:r>
      <w:r>
        <w:rPr/>
        <w:t>examined</w:t>
      </w:r>
      <w:r>
        <w:rPr>
          <w:spacing w:val="-10"/>
        </w:rPr>
        <w:t> </w:t>
      </w:r>
      <w:r>
        <w:rPr/>
        <w:t>commodity</w:t>
      </w:r>
      <w:r>
        <w:rPr>
          <w:spacing w:val="-10"/>
        </w:rPr>
        <w:t> </w:t>
      </w:r>
      <w:r>
        <w:rPr/>
        <w:t>prices</w:t>
      </w:r>
      <w:r>
        <w:rPr>
          <w:spacing w:val="-10"/>
        </w:rPr>
        <w:t> </w:t>
      </w:r>
      <w:r>
        <w:rPr/>
        <w:t>and</w:t>
      </w:r>
      <w:r>
        <w:rPr>
          <w:spacing w:val="-10"/>
        </w:rPr>
        <w:t> </w:t>
      </w:r>
      <w:r>
        <w:rPr/>
        <w:t>civil</w:t>
      </w:r>
      <w:r>
        <w:rPr>
          <w:spacing w:val="-10"/>
        </w:rPr>
        <w:t> </w:t>
      </w:r>
      <w:r>
        <w:rPr/>
        <w:t>conflict.</w:t>
      </w:r>
      <w:r>
        <w:rPr>
          <w:spacing w:val="5"/>
        </w:rPr>
        <w:t> </w:t>
      </w:r>
      <w:r>
        <w:rPr/>
        <w:t>Several</w:t>
      </w:r>
      <w:r>
        <w:rPr>
          <w:spacing w:val="-10"/>
        </w:rPr>
        <w:t> </w:t>
      </w:r>
      <w:r>
        <w:rPr/>
        <w:t>ana- lysts</w:t>
      </w:r>
      <w:r>
        <w:rPr>
          <w:spacing w:val="-13"/>
        </w:rPr>
        <w:t> </w:t>
      </w:r>
      <w:r>
        <w:rPr/>
        <w:t>have</w:t>
      </w:r>
      <w:r>
        <w:rPr>
          <w:spacing w:val="-12"/>
        </w:rPr>
        <w:t> </w:t>
      </w:r>
      <w:r>
        <w:rPr/>
        <w:t>focused</w:t>
      </w:r>
      <w:r>
        <w:rPr>
          <w:spacing w:val="-12"/>
        </w:rPr>
        <w:t> </w:t>
      </w:r>
      <w:r>
        <w:rPr/>
        <w:t>on</w:t>
      </w:r>
      <w:r>
        <w:rPr>
          <w:spacing w:val="-12"/>
        </w:rPr>
        <w:t> </w:t>
      </w:r>
      <w:r>
        <w:rPr/>
        <w:t>agricultural</w:t>
      </w:r>
      <w:r>
        <w:rPr>
          <w:spacing w:val="-12"/>
        </w:rPr>
        <w:t> </w:t>
      </w:r>
      <w:r>
        <w:rPr/>
        <w:t>commodity</w:t>
      </w:r>
      <w:r>
        <w:rPr>
          <w:spacing w:val="-12"/>
        </w:rPr>
        <w:t> </w:t>
      </w:r>
      <w:r>
        <w:rPr/>
        <w:t>prices</w:t>
      </w:r>
      <w:r>
        <w:rPr>
          <w:spacing w:val="-12"/>
        </w:rPr>
        <w:t> </w:t>
      </w:r>
      <w:r>
        <w:rPr/>
        <w:t>and</w:t>
      </w:r>
      <w:r>
        <w:rPr>
          <w:spacing w:val="-12"/>
        </w:rPr>
        <w:t> </w:t>
      </w:r>
      <w:r>
        <w:rPr/>
        <w:t>their</w:t>
      </w:r>
      <w:r>
        <w:rPr>
          <w:spacing w:val="-12"/>
        </w:rPr>
        <w:t> </w:t>
      </w:r>
      <w:r>
        <w:rPr/>
        <w:t>relationship</w:t>
      </w:r>
      <w:r>
        <w:rPr>
          <w:spacing w:val="-12"/>
        </w:rPr>
        <w:t> </w:t>
      </w:r>
      <w:r>
        <w:rPr/>
        <w:t>with</w:t>
      </w:r>
      <w:r>
        <w:rPr>
          <w:spacing w:val="-12"/>
        </w:rPr>
        <w:t> </w:t>
      </w:r>
      <w:r>
        <w:rPr/>
        <w:t>conflict,</w:t>
      </w:r>
      <w:r>
        <w:rPr>
          <w:spacing w:val="-12"/>
        </w:rPr>
        <w:t> </w:t>
      </w:r>
      <w:r>
        <w:rPr/>
        <w:t>with</w:t>
      </w:r>
      <w:r>
        <w:rPr>
          <w:spacing w:val="-12"/>
        </w:rPr>
        <w:t> </w:t>
      </w:r>
      <w:r>
        <w:rPr/>
        <w:t>important trends</w:t>
      </w:r>
      <w:r>
        <w:rPr>
          <w:spacing w:val="-7"/>
        </w:rPr>
        <w:t> </w:t>
      </w:r>
      <w:r>
        <w:rPr/>
        <w:t>emerging. However,</w:t>
      </w:r>
      <w:r>
        <w:rPr>
          <w:spacing w:val="-7"/>
        </w:rPr>
        <w:t> </w:t>
      </w:r>
      <w:r>
        <w:rPr/>
        <w:t>these</w:t>
      </w:r>
      <w:r>
        <w:rPr>
          <w:spacing w:val="-7"/>
        </w:rPr>
        <w:t> </w:t>
      </w:r>
      <w:r>
        <w:rPr/>
        <w:t>studies</w:t>
      </w:r>
      <w:r>
        <w:rPr>
          <w:spacing w:val="-7"/>
        </w:rPr>
        <w:t> </w:t>
      </w:r>
      <w:r>
        <w:rPr/>
        <w:t>tend</w:t>
      </w:r>
      <w:r>
        <w:rPr>
          <w:spacing w:val="-7"/>
        </w:rPr>
        <w:t> </w:t>
      </w:r>
      <w:r>
        <w:rPr/>
        <w:t>to</w:t>
      </w:r>
      <w:r>
        <w:rPr>
          <w:spacing w:val="-7"/>
        </w:rPr>
        <w:t> </w:t>
      </w:r>
      <w:r>
        <w:rPr/>
        <w:t>focus</w:t>
      </w:r>
      <w:r>
        <w:rPr>
          <w:spacing w:val="-7"/>
        </w:rPr>
        <w:t> </w:t>
      </w:r>
      <w:r>
        <w:rPr/>
        <w:t>on</w:t>
      </w:r>
      <w:r>
        <w:rPr>
          <w:spacing w:val="-7"/>
        </w:rPr>
        <w:t> </w:t>
      </w:r>
      <w:r>
        <w:rPr/>
        <w:t>either</w:t>
      </w:r>
      <w:r>
        <w:rPr>
          <w:spacing w:val="-7"/>
        </w:rPr>
        <w:t> </w:t>
      </w:r>
      <w:r>
        <w:rPr/>
        <w:t>the</w:t>
      </w:r>
      <w:r>
        <w:rPr>
          <w:spacing w:val="-7"/>
        </w:rPr>
        <w:t> </w:t>
      </w:r>
      <w:r>
        <w:rPr/>
        <w:t>opportunity</w:t>
      </w:r>
      <w:r>
        <w:rPr>
          <w:spacing w:val="-7"/>
        </w:rPr>
        <w:t> </w:t>
      </w:r>
      <w:r>
        <w:rPr/>
        <w:t>cost</w:t>
      </w:r>
      <w:r>
        <w:rPr>
          <w:spacing w:val="-7"/>
        </w:rPr>
        <w:t> </w:t>
      </w:r>
      <w:r>
        <w:rPr/>
        <w:t>of</w:t>
      </w:r>
      <w:r>
        <w:rPr>
          <w:spacing w:val="-7"/>
        </w:rPr>
        <w:t> </w:t>
      </w:r>
      <w:r>
        <w:rPr/>
        <w:t>insurrection</w:t>
      </w:r>
      <w:r>
        <w:rPr>
          <w:spacing w:val="-7"/>
        </w:rPr>
        <w:t> </w:t>
      </w:r>
      <w:r>
        <w:rPr/>
        <w:t>or the state prize model.</w:t>
      </w:r>
      <w:r>
        <w:rPr>
          <w:rFonts w:ascii="Century Gothic"/>
          <w:vertAlign w:val="superscript"/>
        </w:rPr>
        <w:t>14</w:t>
      </w:r>
      <w:r>
        <w:rPr>
          <w:rFonts w:ascii="Century Gothic"/>
          <w:spacing w:val="40"/>
          <w:vertAlign w:val="baseline"/>
        </w:rPr>
        <w:t> </w:t>
      </w:r>
      <w:r>
        <w:rPr>
          <w:vertAlign w:val="baseline"/>
        </w:rPr>
        <w:t>Under the opportunity cost model, falling agricultural yields make rebellion more</w:t>
      </w:r>
      <w:r>
        <w:rPr>
          <w:spacing w:val="-13"/>
          <w:vertAlign w:val="baseline"/>
        </w:rPr>
        <w:t> </w:t>
      </w:r>
      <w:r>
        <w:rPr>
          <w:vertAlign w:val="baseline"/>
        </w:rPr>
        <w:t>appealing</w:t>
      </w:r>
      <w:r>
        <w:rPr>
          <w:spacing w:val="-12"/>
          <w:vertAlign w:val="baseline"/>
        </w:rPr>
        <w:t> </w:t>
      </w:r>
      <w:r>
        <w:rPr>
          <w:vertAlign w:val="baseline"/>
        </w:rPr>
        <w:t>as</w:t>
      </w:r>
      <w:r>
        <w:rPr>
          <w:spacing w:val="-12"/>
          <w:vertAlign w:val="baseline"/>
        </w:rPr>
        <w:t> </w:t>
      </w:r>
      <w:r>
        <w:rPr>
          <w:vertAlign w:val="baseline"/>
        </w:rPr>
        <w:t>an</w:t>
      </w:r>
      <w:r>
        <w:rPr>
          <w:spacing w:val="-12"/>
          <w:vertAlign w:val="baseline"/>
        </w:rPr>
        <w:t> </w:t>
      </w:r>
      <w:r>
        <w:rPr>
          <w:vertAlign w:val="baseline"/>
        </w:rPr>
        <w:t>alternative</w:t>
      </w:r>
      <w:r>
        <w:rPr>
          <w:spacing w:val="-12"/>
          <w:vertAlign w:val="baseline"/>
        </w:rPr>
        <w:t> </w:t>
      </w:r>
      <w:r>
        <w:rPr>
          <w:vertAlign w:val="baseline"/>
        </w:rPr>
        <w:t>to</w:t>
      </w:r>
      <w:r>
        <w:rPr>
          <w:spacing w:val="-12"/>
          <w:vertAlign w:val="baseline"/>
        </w:rPr>
        <w:t> </w:t>
      </w:r>
      <w:r>
        <w:rPr>
          <w:vertAlign w:val="baseline"/>
        </w:rPr>
        <w:t>agricultural</w:t>
      </w:r>
      <w:r>
        <w:rPr>
          <w:spacing w:val="-12"/>
          <w:vertAlign w:val="baseline"/>
        </w:rPr>
        <w:t> </w:t>
      </w:r>
      <w:r>
        <w:rPr>
          <w:vertAlign w:val="baseline"/>
        </w:rPr>
        <w:t>production.</w:t>
      </w:r>
      <w:r>
        <w:rPr>
          <w:rFonts w:ascii="Century Gothic"/>
          <w:vertAlign w:val="superscript"/>
        </w:rPr>
        <w:t>15</w:t>
      </w:r>
      <w:r>
        <w:rPr>
          <w:rFonts w:ascii="Century Gothic"/>
          <w:spacing w:val="6"/>
          <w:vertAlign w:val="baseline"/>
        </w:rPr>
        <w:t> </w:t>
      </w:r>
      <w:r>
        <w:rPr>
          <w:vertAlign w:val="baseline"/>
        </w:rPr>
        <w:t>The</w:t>
      </w:r>
      <w:r>
        <w:rPr>
          <w:spacing w:val="-12"/>
          <w:vertAlign w:val="baseline"/>
        </w:rPr>
        <w:t> </w:t>
      </w:r>
      <w:r>
        <w:rPr>
          <w:vertAlign w:val="baseline"/>
        </w:rPr>
        <w:t>state</w:t>
      </w:r>
      <w:r>
        <w:rPr>
          <w:spacing w:val="-12"/>
          <w:vertAlign w:val="baseline"/>
        </w:rPr>
        <w:t> </w:t>
      </w:r>
      <w:r>
        <w:rPr>
          <w:vertAlign w:val="baseline"/>
        </w:rPr>
        <w:t>prize</w:t>
      </w:r>
      <w:r>
        <w:rPr>
          <w:spacing w:val="-12"/>
          <w:vertAlign w:val="baseline"/>
        </w:rPr>
        <w:t> </w:t>
      </w:r>
      <w:r>
        <w:rPr>
          <w:vertAlign w:val="baseline"/>
        </w:rPr>
        <w:t>model</w:t>
      </w:r>
      <w:r>
        <w:rPr>
          <w:spacing w:val="-12"/>
          <w:vertAlign w:val="baseline"/>
        </w:rPr>
        <w:t> </w:t>
      </w:r>
      <w:r>
        <w:rPr>
          <w:vertAlign w:val="baseline"/>
        </w:rPr>
        <w:t>assumes</w:t>
      </w:r>
      <w:r>
        <w:rPr>
          <w:spacing w:val="-12"/>
          <w:vertAlign w:val="baseline"/>
        </w:rPr>
        <w:t> </w:t>
      </w:r>
      <w:r>
        <w:rPr>
          <w:vertAlign w:val="baseline"/>
        </w:rPr>
        <w:t>that</w:t>
      </w:r>
      <w:r>
        <w:rPr>
          <w:spacing w:val="-12"/>
          <w:vertAlign w:val="baseline"/>
        </w:rPr>
        <w:t> </w:t>
      </w:r>
      <w:r>
        <w:rPr>
          <w:spacing w:val="-2"/>
          <w:vertAlign w:val="baseline"/>
        </w:rPr>
        <w:t>rising</w:t>
      </w:r>
    </w:p>
    <w:p>
      <w:pPr>
        <w:spacing w:before="34"/>
        <w:ind w:left="339" w:right="0" w:firstLine="0"/>
        <w:jc w:val="left"/>
        <w:rPr>
          <w:rFonts w:ascii="Bookman Old Style"/>
          <w:b w:val="0"/>
          <w:sz w:val="16"/>
        </w:rPr>
      </w:pPr>
      <w:r>
        <w:rPr>
          <w:rFonts w:ascii="Bookman Old Style"/>
          <w:b w:val="0"/>
          <w:spacing w:val="-2"/>
          <w:sz w:val="16"/>
          <w:vertAlign w:val="superscript"/>
        </w:rPr>
        <w:t>2</w:t>
      </w:r>
      <w:r>
        <w:rPr>
          <w:rFonts w:ascii="Bookman Old Style"/>
          <w:b w:val="0"/>
          <w:spacing w:val="-2"/>
          <w:sz w:val="16"/>
          <w:vertAlign w:val="baseline"/>
        </w:rPr>
        <w:t>Fearon</w:t>
      </w:r>
      <w:r>
        <w:rPr>
          <w:rFonts w:ascii="Bookman Old Style"/>
          <w:b w:val="0"/>
          <w:spacing w:val="-10"/>
          <w:sz w:val="16"/>
          <w:vertAlign w:val="baseline"/>
        </w:rPr>
        <w:t> </w:t>
      </w:r>
      <w:r>
        <w:rPr>
          <w:rFonts w:ascii="Bookman Old Style"/>
          <w:b w:val="0"/>
          <w:spacing w:val="-2"/>
          <w:sz w:val="16"/>
          <w:vertAlign w:val="baseline"/>
        </w:rPr>
        <w:t>(2005).</w:t>
      </w:r>
    </w:p>
    <w:p>
      <w:pPr>
        <w:spacing w:before="2"/>
        <w:ind w:left="339" w:right="0" w:firstLine="0"/>
        <w:jc w:val="left"/>
        <w:rPr>
          <w:rFonts w:ascii="Bookman Old Style"/>
          <w:b w:val="0"/>
          <w:sz w:val="16"/>
        </w:rPr>
      </w:pPr>
      <w:r>
        <w:rPr>
          <w:rFonts w:ascii="Bookman Old Style"/>
          <w:b w:val="0"/>
          <w:spacing w:val="-2"/>
          <w:sz w:val="16"/>
          <w:vertAlign w:val="superscript"/>
        </w:rPr>
        <w:t>3</w:t>
      </w:r>
      <w:r>
        <w:rPr>
          <w:rFonts w:ascii="Bookman Old Style"/>
          <w:b w:val="0"/>
          <w:spacing w:val="-2"/>
          <w:sz w:val="16"/>
          <w:vertAlign w:val="baseline"/>
        </w:rPr>
        <w:t>Collier</w:t>
      </w:r>
      <w:r>
        <w:rPr>
          <w:rFonts w:ascii="Bookman Old Style"/>
          <w:b w:val="0"/>
          <w:spacing w:val="-3"/>
          <w:sz w:val="16"/>
          <w:vertAlign w:val="baseline"/>
        </w:rPr>
        <w:t> </w:t>
      </w:r>
      <w:r>
        <w:rPr>
          <w:rFonts w:ascii="Bookman Old Style"/>
          <w:b w:val="0"/>
          <w:spacing w:val="-2"/>
          <w:sz w:val="16"/>
          <w:vertAlign w:val="baseline"/>
        </w:rPr>
        <w:t>and</w:t>
      </w:r>
      <w:r>
        <w:rPr>
          <w:rFonts w:ascii="Bookman Old Style"/>
          <w:b w:val="0"/>
          <w:spacing w:val="-3"/>
          <w:sz w:val="16"/>
          <w:vertAlign w:val="baseline"/>
        </w:rPr>
        <w:t> </w:t>
      </w:r>
      <w:r>
        <w:rPr>
          <w:rFonts w:ascii="Bookman Old Style"/>
          <w:b w:val="0"/>
          <w:spacing w:val="-2"/>
          <w:sz w:val="16"/>
          <w:vertAlign w:val="baseline"/>
        </w:rPr>
        <w:t>Hoeffler (2004).</w:t>
      </w:r>
    </w:p>
    <w:p>
      <w:pPr>
        <w:spacing w:before="2"/>
        <w:ind w:left="339" w:right="0" w:firstLine="0"/>
        <w:jc w:val="left"/>
        <w:rPr>
          <w:rFonts w:ascii="Bookman Old Style"/>
          <w:b w:val="0"/>
          <w:sz w:val="16"/>
        </w:rPr>
      </w:pPr>
      <w:r>
        <w:rPr>
          <w:rFonts w:ascii="Bookman Old Style"/>
          <w:b w:val="0"/>
          <w:sz w:val="16"/>
          <w:vertAlign w:val="superscript"/>
        </w:rPr>
        <w:t>4</w:t>
      </w:r>
      <w:r>
        <w:rPr>
          <w:rFonts w:ascii="Bookman Old Style"/>
          <w:b w:val="0"/>
          <w:sz w:val="16"/>
          <w:vertAlign w:val="baseline"/>
        </w:rPr>
        <w:t>Collier</w:t>
      </w:r>
      <w:r>
        <w:rPr>
          <w:rFonts w:ascii="Bookman Old Style"/>
          <w:b w:val="0"/>
          <w:spacing w:val="-13"/>
          <w:sz w:val="16"/>
          <w:vertAlign w:val="baseline"/>
        </w:rPr>
        <w:t> </w:t>
      </w:r>
      <w:r>
        <w:rPr>
          <w:rFonts w:ascii="Bookman Old Style"/>
          <w:b w:val="0"/>
          <w:sz w:val="16"/>
          <w:vertAlign w:val="baseline"/>
        </w:rPr>
        <w:t>and</w:t>
      </w:r>
      <w:r>
        <w:rPr>
          <w:rFonts w:ascii="Bookman Old Style"/>
          <w:b w:val="0"/>
          <w:spacing w:val="-13"/>
          <w:sz w:val="16"/>
          <w:vertAlign w:val="baseline"/>
        </w:rPr>
        <w:t> </w:t>
      </w:r>
      <w:r>
        <w:rPr>
          <w:rFonts w:ascii="Bookman Old Style"/>
          <w:b w:val="0"/>
          <w:sz w:val="16"/>
          <w:vertAlign w:val="baseline"/>
        </w:rPr>
        <w:t>Hoeffler</w:t>
      </w:r>
      <w:r>
        <w:rPr>
          <w:rFonts w:ascii="Bookman Old Style"/>
          <w:b w:val="0"/>
          <w:spacing w:val="-12"/>
          <w:sz w:val="16"/>
          <w:vertAlign w:val="baseline"/>
        </w:rPr>
        <w:t> </w:t>
      </w:r>
      <w:r>
        <w:rPr>
          <w:rFonts w:ascii="Bookman Old Style"/>
          <w:b w:val="0"/>
          <w:sz w:val="16"/>
          <w:vertAlign w:val="baseline"/>
        </w:rPr>
        <w:t>(2004);</w:t>
      </w:r>
      <w:r>
        <w:rPr>
          <w:rFonts w:ascii="Bookman Old Style"/>
          <w:b w:val="0"/>
          <w:spacing w:val="-13"/>
          <w:sz w:val="16"/>
          <w:vertAlign w:val="baseline"/>
        </w:rPr>
        <w:t> </w:t>
      </w:r>
      <w:r>
        <w:rPr>
          <w:rFonts w:ascii="Bookman Old Style"/>
          <w:b w:val="0"/>
          <w:sz w:val="16"/>
          <w:vertAlign w:val="baseline"/>
        </w:rPr>
        <w:t>Ross</w:t>
      </w:r>
      <w:r>
        <w:rPr>
          <w:rFonts w:ascii="Bookman Old Style"/>
          <w:b w:val="0"/>
          <w:spacing w:val="-12"/>
          <w:sz w:val="16"/>
          <w:vertAlign w:val="baseline"/>
        </w:rPr>
        <w:t> </w:t>
      </w:r>
      <w:r>
        <w:rPr>
          <w:rFonts w:ascii="Bookman Old Style"/>
          <w:b w:val="0"/>
          <w:sz w:val="16"/>
          <w:vertAlign w:val="baseline"/>
        </w:rPr>
        <w:t>(2008);</w:t>
      </w:r>
      <w:r>
        <w:rPr>
          <w:rFonts w:ascii="Bookman Old Style"/>
          <w:b w:val="0"/>
          <w:spacing w:val="-13"/>
          <w:sz w:val="16"/>
          <w:vertAlign w:val="baseline"/>
        </w:rPr>
        <w:t> </w:t>
      </w:r>
      <w:r>
        <w:rPr>
          <w:rFonts w:ascii="Bookman Old Style"/>
          <w:b w:val="0"/>
          <w:sz w:val="16"/>
          <w:vertAlign w:val="baseline"/>
        </w:rPr>
        <w:t>Ali</w:t>
      </w:r>
      <w:r>
        <w:rPr>
          <w:rFonts w:ascii="Bookman Old Style"/>
          <w:b w:val="0"/>
          <w:spacing w:val="-12"/>
          <w:sz w:val="16"/>
          <w:vertAlign w:val="baseline"/>
        </w:rPr>
        <w:t> </w:t>
      </w:r>
      <w:r>
        <w:rPr>
          <w:rFonts w:ascii="Bookman Old Style"/>
          <w:b w:val="0"/>
          <w:sz w:val="16"/>
          <w:vertAlign w:val="baseline"/>
        </w:rPr>
        <w:t>and</w:t>
      </w:r>
      <w:r>
        <w:rPr>
          <w:rFonts w:ascii="Bookman Old Style"/>
          <w:b w:val="0"/>
          <w:spacing w:val="-13"/>
          <w:sz w:val="16"/>
          <w:vertAlign w:val="baseline"/>
        </w:rPr>
        <w:t> </w:t>
      </w:r>
      <w:r>
        <w:rPr>
          <w:rFonts w:ascii="Bookman Old Style"/>
          <w:b w:val="0"/>
          <w:sz w:val="16"/>
          <w:vertAlign w:val="baseline"/>
        </w:rPr>
        <w:t>Abdellatif</w:t>
      </w:r>
      <w:r>
        <w:rPr>
          <w:rFonts w:ascii="Bookman Old Style"/>
          <w:b w:val="0"/>
          <w:spacing w:val="-12"/>
          <w:sz w:val="16"/>
          <w:vertAlign w:val="baseline"/>
        </w:rPr>
        <w:t> </w:t>
      </w:r>
      <w:r>
        <w:rPr>
          <w:rFonts w:ascii="Bookman Old Style"/>
          <w:b w:val="0"/>
          <w:sz w:val="16"/>
          <w:vertAlign w:val="baseline"/>
        </w:rPr>
        <w:t>(2013);</w:t>
      </w:r>
      <w:r>
        <w:rPr>
          <w:rFonts w:ascii="Bookman Old Style"/>
          <w:b w:val="0"/>
          <w:spacing w:val="-13"/>
          <w:sz w:val="16"/>
          <w:vertAlign w:val="baseline"/>
        </w:rPr>
        <w:t> </w:t>
      </w:r>
      <w:r>
        <w:rPr>
          <w:rFonts w:ascii="Bookman Old Style"/>
          <w:b w:val="0"/>
          <w:sz w:val="16"/>
          <w:vertAlign w:val="baseline"/>
        </w:rPr>
        <w:t>Le</w:t>
      </w:r>
      <w:r>
        <w:rPr>
          <w:rFonts w:ascii="Bookman Old Style"/>
          <w:b w:val="0"/>
          <w:spacing w:val="-12"/>
          <w:sz w:val="16"/>
          <w:vertAlign w:val="baseline"/>
        </w:rPr>
        <w:t> </w:t>
      </w:r>
      <w:r>
        <w:rPr>
          <w:rFonts w:ascii="Bookman Old Style"/>
          <w:b w:val="0"/>
          <w:sz w:val="16"/>
          <w:vertAlign w:val="baseline"/>
        </w:rPr>
        <w:t>Billon</w:t>
      </w:r>
      <w:r>
        <w:rPr>
          <w:rFonts w:ascii="Bookman Old Style"/>
          <w:b w:val="0"/>
          <w:spacing w:val="-13"/>
          <w:sz w:val="16"/>
          <w:vertAlign w:val="baseline"/>
        </w:rPr>
        <w:t> </w:t>
      </w:r>
      <w:r>
        <w:rPr>
          <w:rFonts w:ascii="Bookman Old Style"/>
          <w:b w:val="0"/>
          <w:spacing w:val="-2"/>
          <w:sz w:val="16"/>
          <w:vertAlign w:val="baseline"/>
        </w:rPr>
        <w:t>(2012).</w:t>
      </w:r>
    </w:p>
    <w:p>
      <w:pPr>
        <w:spacing w:before="3"/>
        <w:ind w:left="339" w:right="0" w:firstLine="0"/>
        <w:jc w:val="left"/>
        <w:rPr>
          <w:rFonts w:ascii="Bookman Old Style"/>
          <w:b w:val="0"/>
          <w:sz w:val="16"/>
        </w:rPr>
      </w:pPr>
      <w:r>
        <w:rPr>
          <w:rFonts w:ascii="Bookman Old Style"/>
          <w:b w:val="0"/>
          <w:sz w:val="16"/>
          <w:vertAlign w:val="superscript"/>
        </w:rPr>
        <w:t>5</w:t>
      </w:r>
      <w:r>
        <w:rPr>
          <w:rFonts w:ascii="Bookman Old Style"/>
          <w:b w:val="0"/>
          <w:sz w:val="16"/>
          <w:vertAlign w:val="baseline"/>
        </w:rPr>
        <w:t>Buhaug</w:t>
      </w:r>
      <w:r>
        <w:rPr>
          <w:rFonts w:ascii="Bookman Old Style"/>
          <w:b w:val="0"/>
          <w:spacing w:val="-10"/>
          <w:sz w:val="16"/>
          <w:vertAlign w:val="baseline"/>
        </w:rPr>
        <w:t> </w:t>
      </w:r>
      <w:r>
        <w:rPr>
          <w:rFonts w:ascii="Bookman Old Style"/>
          <w:b w:val="0"/>
          <w:sz w:val="16"/>
          <w:vertAlign w:val="baseline"/>
        </w:rPr>
        <w:t>et</w:t>
      </w:r>
      <w:r>
        <w:rPr>
          <w:rFonts w:ascii="Bookman Old Style"/>
          <w:b w:val="0"/>
          <w:spacing w:val="-9"/>
          <w:sz w:val="16"/>
          <w:vertAlign w:val="baseline"/>
        </w:rPr>
        <w:t> </w:t>
      </w:r>
      <w:r>
        <w:rPr>
          <w:rFonts w:ascii="Bookman Old Style"/>
          <w:b w:val="0"/>
          <w:sz w:val="16"/>
          <w:vertAlign w:val="baseline"/>
        </w:rPr>
        <w:t>al.</w:t>
      </w:r>
      <w:r>
        <w:rPr>
          <w:rFonts w:ascii="Bookman Old Style"/>
          <w:b w:val="0"/>
          <w:spacing w:val="5"/>
          <w:sz w:val="16"/>
          <w:vertAlign w:val="baseline"/>
        </w:rPr>
        <w:t> </w:t>
      </w:r>
      <w:r>
        <w:rPr>
          <w:rFonts w:ascii="Bookman Old Style"/>
          <w:b w:val="0"/>
          <w:spacing w:val="-2"/>
          <w:sz w:val="16"/>
          <w:vertAlign w:val="baseline"/>
        </w:rPr>
        <w:t>(2021)</w:t>
      </w:r>
    </w:p>
    <w:p>
      <w:pPr>
        <w:spacing w:before="2"/>
        <w:ind w:left="339" w:right="0" w:firstLine="0"/>
        <w:jc w:val="left"/>
        <w:rPr>
          <w:rFonts w:ascii="Bookman Old Style"/>
          <w:b w:val="0"/>
          <w:sz w:val="16"/>
        </w:rPr>
      </w:pPr>
      <w:r>
        <w:rPr>
          <w:rFonts w:ascii="Bookman Old Style"/>
          <w:b w:val="0"/>
          <w:spacing w:val="-2"/>
          <w:sz w:val="16"/>
          <w:vertAlign w:val="superscript"/>
        </w:rPr>
        <w:t>6</w:t>
      </w:r>
      <w:r>
        <w:rPr>
          <w:rFonts w:ascii="Bookman Old Style"/>
          <w:b w:val="0"/>
          <w:spacing w:val="-2"/>
          <w:sz w:val="16"/>
          <w:vertAlign w:val="baseline"/>
        </w:rPr>
        <w:t>Collier</w:t>
      </w:r>
      <w:r>
        <w:rPr>
          <w:rFonts w:ascii="Bookman Old Style"/>
          <w:b w:val="0"/>
          <w:spacing w:val="-7"/>
          <w:sz w:val="16"/>
          <w:vertAlign w:val="baseline"/>
        </w:rPr>
        <w:t> </w:t>
      </w:r>
      <w:r>
        <w:rPr>
          <w:rFonts w:ascii="Bookman Old Style"/>
          <w:b w:val="0"/>
          <w:spacing w:val="-2"/>
          <w:sz w:val="16"/>
          <w:vertAlign w:val="baseline"/>
        </w:rPr>
        <w:t>and</w:t>
      </w:r>
      <w:r>
        <w:rPr>
          <w:rFonts w:ascii="Bookman Old Style"/>
          <w:b w:val="0"/>
          <w:spacing w:val="-6"/>
          <w:sz w:val="16"/>
          <w:vertAlign w:val="baseline"/>
        </w:rPr>
        <w:t> </w:t>
      </w:r>
      <w:r>
        <w:rPr>
          <w:rFonts w:ascii="Bookman Old Style"/>
          <w:b w:val="0"/>
          <w:spacing w:val="-2"/>
          <w:sz w:val="16"/>
          <w:vertAlign w:val="baseline"/>
        </w:rPr>
        <w:t>Hoeffler</w:t>
      </w:r>
      <w:r>
        <w:rPr>
          <w:rFonts w:ascii="Bookman Old Style"/>
          <w:b w:val="0"/>
          <w:spacing w:val="-7"/>
          <w:sz w:val="16"/>
          <w:vertAlign w:val="baseline"/>
        </w:rPr>
        <w:t> </w:t>
      </w:r>
      <w:r>
        <w:rPr>
          <w:rFonts w:ascii="Bookman Old Style"/>
          <w:b w:val="0"/>
          <w:spacing w:val="-2"/>
          <w:sz w:val="16"/>
          <w:vertAlign w:val="baseline"/>
        </w:rPr>
        <w:t>(2004);</w:t>
      </w:r>
      <w:r>
        <w:rPr>
          <w:rFonts w:ascii="Bookman Old Style"/>
          <w:b w:val="0"/>
          <w:spacing w:val="-6"/>
          <w:sz w:val="16"/>
          <w:vertAlign w:val="baseline"/>
        </w:rPr>
        <w:t> </w:t>
      </w:r>
      <w:r>
        <w:rPr>
          <w:rFonts w:ascii="Bookman Old Style"/>
          <w:b w:val="0"/>
          <w:spacing w:val="-2"/>
          <w:sz w:val="16"/>
          <w:vertAlign w:val="baseline"/>
        </w:rPr>
        <w:t>Ross</w:t>
      </w:r>
      <w:r>
        <w:rPr>
          <w:rFonts w:ascii="Bookman Old Style"/>
          <w:b w:val="0"/>
          <w:spacing w:val="-6"/>
          <w:sz w:val="16"/>
          <w:vertAlign w:val="baseline"/>
        </w:rPr>
        <w:t> </w:t>
      </w:r>
      <w:r>
        <w:rPr>
          <w:rFonts w:ascii="Bookman Old Style"/>
          <w:b w:val="0"/>
          <w:spacing w:val="-2"/>
          <w:sz w:val="16"/>
          <w:vertAlign w:val="baseline"/>
        </w:rPr>
        <w:t>(2008);</w:t>
      </w:r>
      <w:r>
        <w:rPr>
          <w:rFonts w:ascii="Bookman Old Style"/>
          <w:b w:val="0"/>
          <w:spacing w:val="-7"/>
          <w:sz w:val="16"/>
          <w:vertAlign w:val="baseline"/>
        </w:rPr>
        <w:t> </w:t>
      </w:r>
      <w:r>
        <w:rPr>
          <w:rFonts w:ascii="Bookman Old Style"/>
          <w:b w:val="0"/>
          <w:spacing w:val="-2"/>
          <w:sz w:val="16"/>
          <w:vertAlign w:val="baseline"/>
        </w:rPr>
        <w:t>Watts</w:t>
      </w:r>
      <w:r>
        <w:rPr>
          <w:rFonts w:ascii="Bookman Old Style"/>
          <w:b w:val="0"/>
          <w:spacing w:val="-6"/>
          <w:sz w:val="16"/>
          <w:vertAlign w:val="baseline"/>
        </w:rPr>
        <w:t> </w:t>
      </w:r>
      <w:r>
        <w:rPr>
          <w:rFonts w:ascii="Bookman Old Style"/>
          <w:b w:val="0"/>
          <w:spacing w:val="-2"/>
          <w:sz w:val="16"/>
          <w:vertAlign w:val="baseline"/>
        </w:rPr>
        <w:t>(2008);</w:t>
      </w:r>
      <w:r>
        <w:rPr>
          <w:rFonts w:ascii="Bookman Old Style"/>
          <w:b w:val="0"/>
          <w:spacing w:val="-6"/>
          <w:sz w:val="16"/>
          <w:vertAlign w:val="baseline"/>
        </w:rPr>
        <w:t> </w:t>
      </w:r>
      <w:r>
        <w:rPr>
          <w:rFonts w:ascii="Bookman Old Style"/>
          <w:b w:val="0"/>
          <w:spacing w:val="-2"/>
          <w:sz w:val="16"/>
          <w:vertAlign w:val="baseline"/>
        </w:rPr>
        <w:t>Fjelde</w:t>
      </w:r>
      <w:r>
        <w:rPr>
          <w:rFonts w:ascii="Bookman Old Style"/>
          <w:b w:val="0"/>
          <w:spacing w:val="-7"/>
          <w:sz w:val="16"/>
          <w:vertAlign w:val="baseline"/>
        </w:rPr>
        <w:t> </w:t>
      </w:r>
      <w:r>
        <w:rPr>
          <w:rFonts w:ascii="Bookman Old Style"/>
          <w:b w:val="0"/>
          <w:spacing w:val="-2"/>
          <w:sz w:val="16"/>
          <w:vertAlign w:val="baseline"/>
        </w:rPr>
        <w:t>(2009);</w:t>
      </w:r>
      <w:r>
        <w:rPr>
          <w:rFonts w:ascii="Bookman Old Style"/>
          <w:b w:val="0"/>
          <w:spacing w:val="-6"/>
          <w:sz w:val="16"/>
          <w:vertAlign w:val="baseline"/>
        </w:rPr>
        <w:t> </w:t>
      </w:r>
      <w:r>
        <w:rPr>
          <w:rFonts w:ascii="Bookman Old Style"/>
          <w:b w:val="0"/>
          <w:spacing w:val="-2"/>
          <w:sz w:val="16"/>
          <w:vertAlign w:val="baseline"/>
        </w:rPr>
        <w:t>Gunter</w:t>
      </w:r>
      <w:r>
        <w:rPr>
          <w:rFonts w:ascii="Bookman Old Style"/>
          <w:b w:val="0"/>
          <w:spacing w:val="-6"/>
          <w:sz w:val="16"/>
          <w:vertAlign w:val="baseline"/>
        </w:rPr>
        <w:t> </w:t>
      </w:r>
      <w:r>
        <w:rPr>
          <w:rFonts w:ascii="Bookman Old Style"/>
          <w:b w:val="0"/>
          <w:spacing w:val="-2"/>
          <w:sz w:val="16"/>
          <w:vertAlign w:val="baseline"/>
        </w:rPr>
        <w:t>2015)</w:t>
      </w:r>
    </w:p>
    <w:p>
      <w:pPr>
        <w:spacing w:before="2"/>
        <w:ind w:left="339" w:right="0" w:firstLine="0"/>
        <w:jc w:val="left"/>
        <w:rPr>
          <w:rFonts w:ascii="Bookman Old Style"/>
          <w:b w:val="0"/>
          <w:sz w:val="16"/>
        </w:rPr>
      </w:pPr>
      <w:r>
        <w:rPr>
          <w:rFonts w:ascii="Bookman Old Style"/>
          <w:b w:val="0"/>
          <w:sz w:val="16"/>
          <w:vertAlign w:val="superscript"/>
        </w:rPr>
        <w:t>7</w:t>
      </w:r>
      <w:r>
        <w:rPr>
          <w:rFonts w:ascii="Bookman Old Style"/>
          <w:b w:val="0"/>
          <w:sz w:val="16"/>
          <w:vertAlign w:val="baseline"/>
        </w:rPr>
        <w:t>Ross</w:t>
      </w:r>
      <w:r>
        <w:rPr>
          <w:rFonts w:ascii="Bookman Old Style"/>
          <w:b w:val="0"/>
          <w:spacing w:val="-6"/>
          <w:sz w:val="16"/>
          <w:vertAlign w:val="baseline"/>
        </w:rPr>
        <w:t> </w:t>
      </w:r>
      <w:r>
        <w:rPr>
          <w:rFonts w:ascii="Bookman Old Style"/>
          <w:b w:val="0"/>
          <w:spacing w:val="-2"/>
          <w:sz w:val="16"/>
          <w:vertAlign w:val="baseline"/>
        </w:rPr>
        <w:t>(2012).</w:t>
      </w:r>
    </w:p>
    <w:p>
      <w:pPr>
        <w:spacing w:before="3"/>
        <w:ind w:left="339" w:right="0" w:firstLine="0"/>
        <w:jc w:val="left"/>
        <w:rPr>
          <w:rFonts w:ascii="Bookman Old Style"/>
          <w:b w:val="0"/>
          <w:sz w:val="16"/>
        </w:rPr>
      </w:pPr>
      <w:r>
        <w:rPr>
          <w:rFonts w:ascii="Bookman Old Style"/>
          <w:b w:val="0"/>
          <w:spacing w:val="-6"/>
          <w:sz w:val="16"/>
          <w:vertAlign w:val="superscript"/>
        </w:rPr>
        <w:t>8</w:t>
      </w:r>
      <w:r>
        <w:rPr>
          <w:rFonts w:ascii="Bookman Old Style"/>
          <w:b w:val="0"/>
          <w:spacing w:val="-6"/>
          <w:sz w:val="16"/>
          <w:vertAlign w:val="baseline"/>
        </w:rPr>
        <w:t>Demuynck</w:t>
      </w:r>
      <w:r>
        <w:rPr>
          <w:rFonts w:ascii="Bookman Old Style"/>
          <w:b w:val="0"/>
          <w:spacing w:val="1"/>
          <w:sz w:val="16"/>
          <w:vertAlign w:val="baseline"/>
        </w:rPr>
        <w:t> </w:t>
      </w:r>
      <w:r>
        <w:rPr>
          <w:rFonts w:ascii="Bookman Old Style"/>
          <w:b w:val="0"/>
          <w:spacing w:val="-6"/>
          <w:sz w:val="16"/>
          <w:vertAlign w:val="baseline"/>
        </w:rPr>
        <w:t>and</w:t>
      </w:r>
      <w:r>
        <w:rPr>
          <w:rFonts w:ascii="Bookman Old Style"/>
          <w:b w:val="0"/>
          <w:spacing w:val="2"/>
          <w:sz w:val="16"/>
          <w:vertAlign w:val="baseline"/>
        </w:rPr>
        <w:t> </w:t>
      </w:r>
      <w:r>
        <w:rPr>
          <w:rFonts w:ascii="Bookman Old Style"/>
          <w:b w:val="0"/>
          <w:spacing w:val="-6"/>
          <w:sz w:val="16"/>
          <w:vertAlign w:val="baseline"/>
        </w:rPr>
        <w:t>Schollaert</w:t>
      </w:r>
      <w:r>
        <w:rPr>
          <w:rFonts w:ascii="Bookman Old Style"/>
          <w:b w:val="0"/>
          <w:spacing w:val="1"/>
          <w:sz w:val="16"/>
          <w:vertAlign w:val="baseline"/>
        </w:rPr>
        <w:t> </w:t>
      </w:r>
      <w:r>
        <w:rPr>
          <w:rFonts w:ascii="Bookman Old Style"/>
          <w:b w:val="0"/>
          <w:spacing w:val="-6"/>
          <w:sz w:val="16"/>
          <w:vertAlign w:val="baseline"/>
        </w:rPr>
        <w:t>(2008).</w:t>
      </w:r>
    </w:p>
    <w:p>
      <w:pPr>
        <w:spacing w:before="2"/>
        <w:ind w:left="339" w:right="0" w:firstLine="0"/>
        <w:jc w:val="left"/>
        <w:rPr>
          <w:rFonts w:ascii="Bookman Old Style"/>
          <w:b w:val="0"/>
          <w:sz w:val="16"/>
        </w:rPr>
      </w:pPr>
      <w:r>
        <w:rPr>
          <w:rFonts w:ascii="Bookman Old Style"/>
          <w:b w:val="0"/>
          <w:sz w:val="16"/>
          <w:vertAlign w:val="superscript"/>
        </w:rPr>
        <w:t>9</w:t>
      </w:r>
      <w:r>
        <w:rPr>
          <w:rFonts w:ascii="Bookman Old Style"/>
          <w:b w:val="0"/>
          <w:sz w:val="16"/>
          <w:vertAlign w:val="baseline"/>
        </w:rPr>
        <w:t>Ross</w:t>
      </w:r>
      <w:r>
        <w:rPr>
          <w:rFonts w:ascii="Bookman Old Style"/>
          <w:b w:val="0"/>
          <w:spacing w:val="-6"/>
          <w:sz w:val="16"/>
          <w:vertAlign w:val="baseline"/>
        </w:rPr>
        <w:t> </w:t>
      </w:r>
      <w:r>
        <w:rPr>
          <w:rFonts w:ascii="Bookman Old Style"/>
          <w:b w:val="0"/>
          <w:spacing w:val="-2"/>
          <w:sz w:val="16"/>
          <w:vertAlign w:val="baseline"/>
        </w:rPr>
        <w:t>(2012).</w:t>
      </w:r>
    </w:p>
    <w:p>
      <w:pPr>
        <w:spacing w:before="2"/>
        <w:ind w:left="266" w:right="0" w:firstLine="0"/>
        <w:jc w:val="left"/>
        <w:rPr>
          <w:rFonts w:ascii="Bookman Old Style"/>
          <w:b w:val="0"/>
          <w:sz w:val="16"/>
        </w:rPr>
      </w:pPr>
      <w:r>
        <w:rPr>
          <w:rFonts w:ascii="Bookman Old Style"/>
          <w:b w:val="0"/>
          <w:sz w:val="16"/>
          <w:vertAlign w:val="superscript"/>
        </w:rPr>
        <w:t>10</w:t>
      </w:r>
      <w:r>
        <w:rPr>
          <w:rFonts w:ascii="Bookman Old Style"/>
          <w:b w:val="0"/>
          <w:sz w:val="16"/>
          <w:vertAlign w:val="baseline"/>
        </w:rPr>
        <w:t>Fjelde</w:t>
      </w:r>
      <w:r>
        <w:rPr>
          <w:rFonts w:ascii="Bookman Old Style"/>
          <w:b w:val="0"/>
          <w:spacing w:val="21"/>
          <w:sz w:val="16"/>
          <w:vertAlign w:val="baseline"/>
        </w:rPr>
        <w:t> </w:t>
      </w:r>
      <w:r>
        <w:rPr>
          <w:rFonts w:ascii="Bookman Old Style"/>
          <w:b w:val="0"/>
          <w:spacing w:val="-2"/>
          <w:sz w:val="16"/>
          <w:vertAlign w:val="baseline"/>
        </w:rPr>
        <w:t>(2009).</w:t>
      </w:r>
    </w:p>
    <w:p>
      <w:pPr>
        <w:spacing w:before="2"/>
        <w:ind w:left="266" w:right="0" w:firstLine="0"/>
        <w:jc w:val="left"/>
        <w:rPr>
          <w:rFonts w:ascii="Bookman Old Style"/>
          <w:b w:val="0"/>
          <w:sz w:val="16"/>
        </w:rPr>
      </w:pPr>
      <w:r>
        <w:rPr>
          <w:rFonts w:ascii="Bookman Old Style"/>
          <w:b w:val="0"/>
          <w:spacing w:val="-2"/>
          <w:sz w:val="16"/>
          <w:vertAlign w:val="superscript"/>
        </w:rPr>
        <w:t>11</w:t>
      </w:r>
      <w:r>
        <w:rPr>
          <w:rFonts w:ascii="Bookman Old Style"/>
          <w:b w:val="0"/>
          <w:spacing w:val="-2"/>
          <w:sz w:val="16"/>
          <w:vertAlign w:val="baseline"/>
        </w:rPr>
        <w:t>Dunffield</w:t>
      </w:r>
      <w:r>
        <w:rPr>
          <w:rFonts w:ascii="Bookman Old Style"/>
          <w:b w:val="0"/>
          <w:spacing w:val="-6"/>
          <w:sz w:val="16"/>
          <w:vertAlign w:val="baseline"/>
        </w:rPr>
        <w:t> </w:t>
      </w:r>
      <w:r>
        <w:rPr>
          <w:rFonts w:ascii="Bookman Old Style"/>
          <w:b w:val="0"/>
          <w:spacing w:val="-2"/>
          <w:sz w:val="16"/>
          <w:vertAlign w:val="baseline"/>
        </w:rPr>
        <w:t>and</w:t>
      </w:r>
      <w:r>
        <w:rPr>
          <w:rFonts w:ascii="Bookman Old Style"/>
          <w:b w:val="0"/>
          <w:spacing w:val="-6"/>
          <w:sz w:val="16"/>
          <w:vertAlign w:val="baseline"/>
        </w:rPr>
        <w:t> </w:t>
      </w:r>
      <w:r>
        <w:rPr>
          <w:rFonts w:ascii="Bookman Old Style"/>
          <w:b w:val="0"/>
          <w:spacing w:val="-2"/>
          <w:sz w:val="16"/>
          <w:vertAlign w:val="baseline"/>
        </w:rPr>
        <w:t>Klare</w:t>
      </w:r>
      <w:r>
        <w:rPr>
          <w:rFonts w:ascii="Bookman Old Style"/>
          <w:b w:val="0"/>
          <w:spacing w:val="-6"/>
          <w:sz w:val="16"/>
          <w:vertAlign w:val="baseline"/>
        </w:rPr>
        <w:t> </w:t>
      </w:r>
      <w:r>
        <w:rPr>
          <w:rFonts w:ascii="Bookman Old Style"/>
          <w:b w:val="0"/>
          <w:spacing w:val="-2"/>
          <w:sz w:val="16"/>
          <w:vertAlign w:val="baseline"/>
        </w:rPr>
        <w:t>(2005);</w:t>
      </w:r>
      <w:r>
        <w:rPr>
          <w:rFonts w:ascii="Bookman Old Style"/>
          <w:b w:val="0"/>
          <w:spacing w:val="-6"/>
          <w:sz w:val="16"/>
          <w:vertAlign w:val="baseline"/>
        </w:rPr>
        <w:t> </w:t>
      </w:r>
      <w:r>
        <w:rPr>
          <w:rFonts w:ascii="Bookman Old Style"/>
          <w:b w:val="0"/>
          <w:spacing w:val="-2"/>
          <w:sz w:val="16"/>
          <w:vertAlign w:val="baseline"/>
        </w:rPr>
        <w:t>Hendrix</w:t>
      </w:r>
      <w:r>
        <w:rPr>
          <w:rFonts w:ascii="Bookman Old Style"/>
          <w:b w:val="0"/>
          <w:spacing w:val="-6"/>
          <w:sz w:val="16"/>
          <w:vertAlign w:val="baseline"/>
        </w:rPr>
        <w:t> </w:t>
      </w:r>
      <w:r>
        <w:rPr>
          <w:rFonts w:ascii="Bookman Old Style"/>
          <w:b w:val="0"/>
          <w:spacing w:val="-2"/>
          <w:sz w:val="16"/>
          <w:vertAlign w:val="baseline"/>
        </w:rPr>
        <w:t>(2017).</w:t>
      </w:r>
    </w:p>
    <w:p>
      <w:pPr>
        <w:spacing w:before="3"/>
        <w:ind w:left="266" w:right="0" w:firstLine="0"/>
        <w:jc w:val="left"/>
        <w:rPr>
          <w:rFonts w:ascii="Bookman Old Style"/>
          <w:b w:val="0"/>
          <w:sz w:val="16"/>
        </w:rPr>
      </w:pPr>
      <w:r>
        <w:rPr>
          <w:rFonts w:ascii="Bookman Old Style"/>
          <w:b w:val="0"/>
          <w:sz w:val="16"/>
          <w:vertAlign w:val="superscript"/>
        </w:rPr>
        <w:t>12</w:t>
      </w:r>
      <w:r>
        <w:rPr>
          <w:rFonts w:ascii="Bookman Old Style"/>
          <w:b w:val="0"/>
          <w:sz w:val="16"/>
          <w:vertAlign w:val="baseline"/>
        </w:rPr>
        <w:t>Hendrix</w:t>
      </w:r>
      <w:r>
        <w:rPr>
          <w:rFonts w:ascii="Bookman Old Style"/>
          <w:b w:val="0"/>
          <w:spacing w:val="-3"/>
          <w:sz w:val="16"/>
          <w:vertAlign w:val="baseline"/>
        </w:rPr>
        <w:t> </w:t>
      </w:r>
      <w:r>
        <w:rPr>
          <w:rFonts w:ascii="Bookman Old Style"/>
          <w:b w:val="0"/>
          <w:spacing w:val="-2"/>
          <w:sz w:val="16"/>
          <w:vertAlign w:val="baseline"/>
        </w:rPr>
        <w:t>(2017).</w:t>
      </w:r>
    </w:p>
    <w:p>
      <w:pPr>
        <w:spacing w:before="2"/>
        <w:ind w:left="266" w:right="0" w:firstLine="0"/>
        <w:jc w:val="left"/>
        <w:rPr>
          <w:rFonts w:ascii="Bookman Old Style"/>
          <w:b w:val="0"/>
          <w:sz w:val="16"/>
        </w:rPr>
      </w:pPr>
      <w:r>
        <w:rPr>
          <w:rFonts w:ascii="Bookman Old Style"/>
          <w:b w:val="0"/>
          <w:spacing w:val="-2"/>
          <w:sz w:val="16"/>
          <w:vertAlign w:val="superscript"/>
        </w:rPr>
        <w:t>13</w:t>
      </w:r>
      <w:r>
        <w:rPr>
          <w:rFonts w:ascii="Bookman Old Style"/>
          <w:b w:val="0"/>
          <w:spacing w:val="-2"/>
          <w:sz w:val="16"/>
          <w:vertAlign w:val="baseline"/>
        </w:rPr>
        <w:t>Snyder</w:t>
      </w:r>
      <w:r>
        <w:rPr>
          <w:rFonts w:ascii="Bookman Old Style"/>
          <w:b w:val="0"/>
          <w:spacing w:val="-8"/>
          <w:sz w:val="16"/>
          <w:vertAlign w:val="baseline"/>
        </w:rPr>
        <w:t> </w:t>
      </w:r>
      <w:r>
        <w:rPr>
          <w:rFonts w:ascii="Bookman Old Style"/>
          <w:b w:val="0"/>
          <w:spacing w:val="-2"/>
          <w:sz w:val="16"/>
          <w:vertAlign w:val="baseline"/>
        </w:rPr>
        <w:t>(2006);</w:t>
      </w:r>
      <w:r>
        <w:rPr>
          <w:rFonts w:ascii="Bookman Old Style"/>
          <w:b w:val="0"/>
          <w:spacing w:val="-7"/>
          <w:sz w:val="16"/>
          <w:vertAlign w:val="baseline"/>
        </w:rPr>
        <w:t> </w:t>
      </w:r>
      <w:r>
        <w:rPr>
          <w:rFonts w:ascii="Bookman Old Style"/>
          <w:b w:val="0"/>
          <w:spacing w:val="-2"/>
          <w:sz w:val="16"/>
          <w:vertAlign w:val="baseline"/>
        </w:rPr>
        <w:t>Ross</w:t>
      </w:r>
      <w:r>
        <w:rPr>
          <w:rFonts w:ascii="Bookman Old Style"/>
          <w:b w:val="0"/>
          <w:spacing w:val="-8"/>
          <w:sz w:val="16"/>
          <w:vertAlign w:val="baseline"/>
        </w:rPr>
        <w:t> </w:t>
      </w:r>
      <w:r>
        <w:rPr>
          <w:rFonts w:ascii="Bookman Old Style"/>
          <w:b w:val="0"/>
          <w:spacing w:val="-2"/>
          <w:sz w:val="16"/>
          <w:vertAlign w:val="baseline"/>
        </w:rPr>
        <w:t>(2012);</w:t>
      </w:r>
      <w:r>
        <w:rPr>
          <w:rFonts w:ascii="Bookman Old Style"/>
          <w:b w:val="0"/>
          <w:spacing w:val="-7"/>
          <w:sz w:val="16"/>
          <w:vertAlign w:val="baseline"/>
        </w:rPr>
        <w:t> </w:t>
      </w:r>
      <w:r>
        <w:rPr>
          <w:rFonts w:ascii="Bookman Old Style"/>
          <w:b w:val="0"/>
          <w:spacing w:val="-2"/>
          <w:sz w:val="16"/>
          <w:vertAlign w:val="baseline"/>
        </w:rPr>
        <w:t>Bazzi</w:t>
      </w:r>
      <w:r>
        <w:rPr>
          <w:rFonts w:ascii="Bookman Old Style"/>
          <w:b w:val="0"/>
          <w:spacing w:val="-8"/>
          <w:sz w:val="16"/>
          <w:vertAlign w:val="baseline"/>
        </w:rPr>
        <w:t> </w:t>
      </w:r>
      <w:r>
        <w:rPr>
          <w:rFonts w:ascii="Bookman Old Style"/>
          <w:b w:val="0"/>
          <w:spacing w:val="-2"/>
          <w:sz w:val="16"/>
          <w:vertAlign w:val="baseline"/>
        </w:rPr>
        <w:t>and</w:t>
      </w:r>
      <w:r>
        <w:rPr>
          <w:rFonts w:ascii="Bookman Old Style"/>
          <w:b w:val="0"/>
          <w:spacing w:val="-7"/>
          <w:sz w:val="16"/>
          <w:vertAlign w:val="baseline"/>
        </w:rPr>
        <w:t> </w:t>
      </w:r>
      <w:r>
        <w:rPr>
          <w:rFonts w:ascii="Bookman Old Style"/>
          <w:b w:val="0"/>
          <w:spacing w:val="-2"/>
          <w:sz w:val="16"/>
          <w:vertAlign w:val="baseline"/>
        </w:rPr>
        <w:t>Blattman</w:t>
      </w:r>
      <w:r>
        <w:rPr>
          <w:rFonts w:ascii="Bookman Old Style"/>
          <w:b w:val="0"/>
          <w:spacing w:val="-7"/>
          <w:sz w:val="16"/>
          <w:vertAlign w:val="baseline"/>
        </w:rPr>
        <w:t> </w:t>
      </w:r>
      <w:r>
        <w:rPr>
          <w:rFonts w:ascii="Bookman Old Style"/>
          <w:b w:val="0"/>
          <w:spacing w:val="-2"/>
          <w:sz w:val="16"/>
          <w:vertAlign w:val="baseline"/>
        </w:rPr>
        <w:t>(2014).</w:t>
      </w:r>
    </w:p>
    <w:p>
      <w:pPr>
        <w:spacing w:line="177" w:lineRule="exact" w:before="2"/>
        <w:ind w:left="266" w:right="0" w:firstLine="0"/>
        <w:jc w:val="left"/>
        <w:rPr>
          <w:rFonts w:ascii="Bookman Old Style"/>
          <w:b w:val="0"/>
          <w:sz w:val="16"/>
        </w:rPr>
      </w:pPr>
      <w:r>
        <w:rPr>
          <w:rFonts w:ascii="Bookman Old Style"/>
          <w:b w:val="0"/>
          <w:sz w:val="16"/>
          <w:vertAlign w:val="superscript"/>
        </w:rPr>
        <w:t>14</w:t>
      </w:r>
      <w:r>
        <w:rPr>
          <w:rFonts w:ascii="Bookman Old Style"/>
          <w:b w:val="0"/>
          <w:sz w:val="16"/>
          <w:vertAlign w:val="baseline"/>
        </w:rPr>
        <w:t>Ray</w:t>
      </w:r>
      <w:r>
        <w:rPr>
          <w:rFonts w:ascii="Bookman Old Style"/>
          <w:b w:val="0"/>
          <w:spacing w:val="-10"/>
          <w:sz w:val="16"/>
          <w:vertAlign w:val="baseline"/>
        </w:rPr>
        <w:t> </w:t>
      </w:r>
      <w:r>
        <w:rPr>
          <w:rFonts w:ascii="Bookman Old Style"/>
          <w:b w:val="0"/>
          <w:sz w:val="16"/>
          <w:vertAlign w:val="baseline"/>
        </w:rPr>
        <w:t>and</w:t>
      </w:r>
      <w:r>
        <w:rPr>
          <w:rFonts w:ascii="Bookman Old Style"/>
          <w:b w:val="0"/>
          <w:spacing w:val="-10"/>
          <w:sz w:val="16"/>
          <w:vertAlign w:val="baseline"/>
        </w:rPr>
        <w:t> </w:t>
      </w:r>
      <w:r>
        <w:rPr>
          <w:rFonts w:ascii="Bookman Old Style"/>
          <w:b w:val="0"/>
          <w:sz w:val="16"/>
          <w:vertAlign w:val="baseline"/>
        </w:rPr>
        <w:t>Esteban</w:t>
      </w:r>
      <w:r>
        <w:rPr>
          <w:rFonts w:ascii="Bookman Old Style"/>
          <w:b w:val="0"/>
          <w:spacing w:val="-9"/>
          <w:sz w:val="16"/>
          <w:vertAlign w:val="baseline"/>
        </w:rPr>
        <w:t> </w:t>
      </w:r>
      <w:r>
        <w:rPr>
          <w:rFonts w:ascii="Bookman Old Style"/>
          <w:b w:val="0"/>
          <w:spacing w:val="-4"/>
          <w:sz w:val="16"/>
          <w:vertAlign w:val="baseline"/>
        </w:rPr>
        <w:t>2017</w:t>
      </w:r>
    </w:p>
    <w:p>
      <w:pPr>
        <w:spacing w:line="235" w:lineRule="exact" w:before="0"/>
        <w:ind w:left="266" w:right="0" w:firstLine="0"/>
        <w:jc w:val="left"/>
        <w:rPr>
          <w:rFonts w:ascii="Bookman Old Style" w:hAnsi="Bookman Old Style"/>
          <w:b w:val="0"/>
          <w:sz w:val="16"/>
        </w:rPr>
      </w:pPr>
      <w:r>
        <w:rPr>
          <w:rFonts w:ascii="Bookman Old Style" w:hAnsi="Bookman Old Style"/>
          <w:b w:val="0"/>
          <w:spacing w:val="-4"/>
          <w:position w:val="6"/>
          <w:sz w:val="12"/>
        </w:rPr>
        <w:t>15</w:t>
      </w:r>
      <w:r>
        <w:rPr>
          <w:rFonts w:ascii="Bookman Old Style" w:hAnsi="Bookman Old Style"/>
          <w:b w:val="0"/>
          <w:spacing w:val="-4"/>
          <w:sz w:val="16"/>
        </w:rPr>
        <w:t>See</w:t>
      </w:r>
      <w:r>
        <w:rPr>
          <w:rFonts w:ascii="Bookman Old Style" w:hAnsi="Bookman Old Style"/>
          <w:b w:val="0"/>
          <w:spacing w:val="-1"/>
          <w:sz w:val="16"/>
        </w:rPr>
        <w:t> </w:t>
      </w:r>
      <w:r>
        <w:rPr>
          <w:rFonts w:ascii="Bookman Old Style" w:hAnsi="Bookman Old Style"/>
          <w:b w:val="0"/>
          <w:spacing w:val="-4"/>
          <w:sz w:val="16"/>
        </w:rPr>
        <w:t>Collier</w:t>
      </w:r>
      <w:r>
        <w:rPr>
          <w:rFonts w:ascii="Bookman Old Style" w:hAnsi="Bookman Old Style"/>
          <w:b w:val="0"/>
          <w:spacing w:val="-1"/>
          <w:sz w:val="16"/>
        </w:rPr>
        <w:t> </w:t>
      </w:r>
      <w:r>
        <w:rPr>
          <w:rFonts w:ascii="Bookman Old Style" w:hAnsi="Bookman Old Style"/>
          <w:b w:val="0"/>
          <w:spacing w:val="-4"/>
          <w:sz w:val="16"/>
        </w:rPr>
        <w:t>and</w:t>
      </w:r>
      <w:r>
        <w:rPr>
          <w:rFonts w:ascii="Bookman Old Style" w:hAnsi="Bookman Old Style"/>
          <w:b w:val="0"/>
          <w:sz w:val="16"/>
        </w:rPr>
        <w:t> </w:t>
      </w:r>
      <w:r>
        <w:rPr>
          <w:rFonts w:ascii="Bookman Old Style" w:hAnsi="Bookman Old Style"/>
          <w:b w:val="0"/>
          <w:spacing w:val="-4"/>
          <w:sz w:val="16"/>
        </w:rPr>
        <w:t>Hoeffler</w:t>
      </w:r>
      <w:r>
        <w:rPr>
          <w:rFonts w:ascii="Bookman Old Style" w:hAnsi="Bookman Old Style"/>
          <w:b w:val="0"/>
          <w:spacing w:val="-1"/>
          <w:sz w:val="16"/>
        </w:rPr>
        <w:t> </w:t>
      </w:r>
      <w:r>
        <w:rPr>
          <w:rFonts w:ascii="Bookman Old Style" w:hAnsi="Bookman Old Style"/>
          <w:b w:val="0"/>
          <w:spacing w:val="-4"/>
          <w:sz w:val="16"/>
        </w:rPr>
        <w:t>(1998);</w:t>
      </w:r>
      <w:r>
        <w:rPr>
          <w:rFonts w:ascii="Bookman Old Style" w:hAnsi="Bookman Old Style"/>
          <w:b w:val="0"/>
          <w:spacing w:val="-1"/>
          <w:sz w:val="16"/>
        </w:rPr>
        <w:t> </w:t>
      </w:r>
      <w:r>
        <w:rPr>
          <w:rFonts w:ascii="Bookman Old Style" w:hAnsi="Bookman Old Style"/>
          <w:b w:val="0"/>
          <w:spacing w:val="-4"/>
          <w:sz w:val="16"/>
        </w:rPr>
        <w:t>Miguel,</w:t>
      </w:r>
      <w:r>
        <w:rPr>
          <w:rFonts w:ascii="Bookman Old Style" w:hAnsi="Bookman Old Style"/>
          <w:b w:val="0"/>
          <w:sz w:val="16"/>
        </w:rPr>
        <w:t> </w:t>
      </w:r>
      <w:r>
        <w:rPr>
          <w:rFonts w:ascii="Bookman Old Style" w:hAnsi="Bookman Old Style"/>
          <w:b w:val="0"/>
          <w:spacing w:val="-4"/>
          <w:sz w:val="16"/>
        </w:rPr>
        <w:t>Satyanath,</w:t>
      </w:r>
      <w:r>
        <w:rPr>
          <w:rFonts w:ascii="Bookman Old Style" w:hAnsi="Bookman Old Style"/>
          <w:b w:val="0"/>
          <w:spacing w:val="-1"/>
          <w:sz w:val="16"/>
        </w:rPr>
        <w:t> </w:t>
      </w:r>
      <w:r>
        <w:rPr>
          <w:rFonts w:ascii="Bookman Old Style" w:hAnsi="Bookman Old Style"/>
          <w:b w:val="0"/>
          <w:spacing w:val="-4"/>
          <w:sz w:val="16"/>
        </w:rPr>
        <w:t>and</w:t>
      </w:r>
      <w:r>
        <w:rPr>
          <w:rFonts w:ascii="Bookman Old Style" w:hAnsi="Bookman Old Style"/>
          <w:b w:val="0"/>
          <w:spacing w:val="-1"/>
          <w:sz w:val="16"/>
        </w:rPr>
        <w:t> </w:t>
      </w:r>
      <w:r>
        <w:rPr>
          <w:rFonts w:ascii="Bookman Old Style" w:hAnsi="Bookman Old Style"/>
          <w:b w:val="0"/>
          <w:spacing w:val="-4"/>
          <w:sz w:val="16"/>
        </w:rPr>
        <w:t>Sergenti</w:t>
      </w:r>
      <w:r>
        <w:rPr>
          <w:rFonts w:ascii="Bookman Old Style" w:hAnsi="Bookman Old Style"/>
          <w:b w:val="0"/>
          <w:sz w:val="16"/>
        </w:rPr>
        <w:t> </w:t>
      </w:r>
      <w:r>
        <w:rPr>
          <w:rFonts w:ascii="Bookman Old Style" w:hAnsi="Bookman Old Style"/>
          <w:b w:val="0"/>
          <w:spacing w:val="-4"/>
          <w:sz w:val="16"/>
        </w:rPr>
        <w:t>(2004);</w:t>
      </w:r>
      <w:r>
        <w:rPr>
          <w:rFonts w:ascii="Bookman Old Style" w:hAnsi="Bookman Old Style"/>
          <w:b w:val="0"/>
          <w:spacing w:val="-1"/>
          <w:sz w:val="16"/>
        </w:rPr>
        <w:t> </w:t>
      </w:r>
      <w:r>
        <w:rPr>
          <w:rFonts w:ascii="Bookman Old Style" w:hAnsi="Bookman Old Style"/>
          <w:b w:val="0"/>
          <w:spacing w:val="-4"/>
          <w:sz w:val="16"/>
        </w:rPr>
        <w:t>Dal</w:t>
      </w:r>
      <w:r>
        <w:rPr>
          <w:rFonts w:ascii="Bookman Old Style" w:hAnsi="Bookman Old Style"/>
          <w:b w:val="0"/>
          <w:spacing w:val="-1"/>
          <w:sz w:val="16"/>
        </w:rPr>
        <w:t> </w:t>
      </w:r>
      <w:r>
        <w:rPr>
          <w:rFonts w:ascii="Bookman Old Style" w:hAnsi="Bookman Old Style"/>
          <w:b w:val="0"/>
          <w:spacing w:val="-4"/>
          <w:sz w:val="16"/>
        </w:rPr>
        <w:t>B</w:t>
      </w:r>
      <w:r>
        <w:rPr>
          <w:rFonts w:ascii="Lucida Sans Unicode" w:hAnsi="Lucida Sans Unicode"/>
          <w:spacing w:val="-4"/>
          <w:sz w:val="16"/>
        </w:rPr>
        <w:t>´</w:t>
      </w:r>
      <w:r>
        <w:rPr>
          <w:rFonts w:ascii="Bookman Old Style" w:hAnsi="Bookman Old Style"/>
          <w:b w:val="0"/>
          <w:spacing w:val="-4"/>
          <w:sz w:val="16"/>
        </w:rPr>
        <w:t>o</w:t>
      </w:r>
      <w:r>
        <w:rPr>
          <w:rFonts w:ascii="Bookman Old Style" w:hAnsi="Bookman Old Style"/>
          <w:b w:val="0"/>
          <w:sz w:val="16"/>
        </w:rPr>
        <w:t> </w:t>
      </w:r>
      <w:r>
        <w:rPr>
          <w:rFonts w:ascii="Bookman Old Style" w:hAnsi="Bookman Old Style"/>
          <w:b w:val="0"/>
          <w:spacing w:val="-4"/>
          <w:sz w:val="16"/>
        </w:rPr>
        <w:t>and</w:t>
      </w:r>
      <w:r>
        <w:rPr>
          <w:rFonts w:ascii="Bookman Old Style" w:hAnsi="Bookman Old Style"/>
          <w:b w:val="0"/>
          <w:spacing w:val="-1"/>
          <w:sz w:val="16"/>
        </w:rPr>
        <w:t> </w:t>
      </w:r>
      <w:r>
        <w:rPr>
          <w:rFonts w:ascii="Bookman Old Style" w:hAnsi="Bookman Old Style"/>
          <w:b w:val="0"/>
          <w:spacing w:val="-4"/>
          <w:sz w:val="16"/>
        </w:rPr>
        <w:t>Dal</w:t>
      </w:r>
      <w:r>
        <w:rPr>
          <w:rFonts w:ascii="Bookman Old Style" w:hAnsi="Bookman Old Style"/>
          <w:b w:val="0"/>
          <w:spacing w:val="-1"/>
          <w:sz w:val="16"/>
        </w:rPr>
        <w:t> </w:t>
      </w:r>
      <w:r>
        <w:rPr>
          <w:rFonts w:ascii="Bookman Old Style" w:hAnsi="Bookman Old Style"/>
          <w:b w:val="0"/>
          <w:spacing w:val="-4"/>
          <w:sz w:val="16"/>
        </w:rPr>
        <w:t>B</w:t>
      </w:r>
      <w:r>
        <w:rPr>
          <w:rFonts w:ascii="Lucida Sans Unicode" w:hAnsi="Lucida Sans Unicode"/>
          <w:spacing w:val="-4"/>
          <w:sz w:val="16"/>
        </w:rPr>
        <w:t>´</w:t>
      </w:r>
      <w:r>
        <w:rPr>
          <w:rFonts w:ascii="Bookman Old Style" w:hAnsi="Bookman Old Style"/>
          <w:b w:val="0"/>
          <w:spacing w:val="-4"/>
          <w:sz w:val="16"/>
        </w:rPr>
        <w:t>o</w:t>
      </w:r>
      <w:r>
        <w:rPr>
          <w:rFonts w:ascii="Bookman Old Style" w:hAnsi="Bookman Old Style"/>
          <w:b w:val="0"/>
          <w:sz w:val="16"/>
        </w:rPr>
        <w:t> </w:t>
      </w:r>
      <w:r>
        <w:rPr>
          <w:rFonts w:ascii="Bookman Old Style" w:hAnsi="Bookman Old Style"/>
          <w:b w:val="0"/>
          <w:spacing w:val="-4"/>
          <w:sz w:val="16"/>
        </w:rPr>
        <w:t>(2011).</w:t>
      </w:r>
    </w:p>
    <w:p>
      <w:pPr>
        <w:spacing w:after="0" w:line="235" w:lineRule="exact"/>
        <w:jc w:val="left"/>
        <w:rPr>
          <w:rFonts w:ascii="Bookman Old Style" w:hAnsi="Bookman Old Style"/>
          <w:sz w:val="16"/>
        </w:rPr>
        <w:sectPr>
          <w:pgSz w:w="12240" w:h="15840"/>
          <w:pgMar w:header="0" w:footer="1252" w:top="1040" w:bottom="1440" w:left="1300" w:right="1200"/>
        </w:sectPr>
      </w:pPr>
    </w:p>
    <w:p>
      <w:pPr>
        <w:pStyle w:val="BodyText"/>
        <w:spacing w:line="307" w:lineRule="auto" w:before="49"/>
        <w:ind w:left="117" w:right="633"/>
        <w:jc w:val="both"/>
        <w:rPr>
          <w:rFonts w:ascii="Century Gothic"/>
        </w:rPr>
      </w:pPr>
      <w:r>
        <w:rPr/>
        <w:t>prices increase rebel incentives to capture lootable resources.</w:t>
      </w:r>
      <w:r>
        <w:rPr>
          <w:spacing w:val="39"/>
        </w:rPr>
        <w:t> </w:t>
      </w:r>
      <w:r>
        <w:rPr/>
        <w:t>Others argue that sub-Saharan African states,</w:t>
      </w:r>
      <w:r>
        <w:rPr>
          <w:spacing w:val="-10"/>
        </w:rPr>
        <w:t> </w:t>
      </w:r>
      <w:r>
        <w:rPr/>
        <w:t>which</w:t>
      </w:r>
      <w:r>
        <w:rPr>
          <w:spacing w:val="-10"/>
        </w:rPr>
        <w:t> </w:t>
      </w:r>
      <w:r>
        <w:rPr/>
        <w:t>rely</w:t>
      </w:r>
      <w:r>
        <w:rPr>
          <w:spacing w:val="-10"/>
        </w:rPr>
        <w:t> </w:t>
      </w:r>
      <w:r>
        <w:rPr/>
        <w:t>on</w:t>
      </w:r>
      <w:r>
        <w:rPr>
          <w:spacing w:val="-10"/>
        </w:rPr>
        <w:t> </w:t>
      </w:r>
      <w:r>
        <w:rPr/>
        <w:t>tropical</w:t>
      </w:r>
      <w:r>
        <w:rPr>
          <w:spacing w:val="-10"/>
        </w:rPr>
        <w:t> </w:t>
      </w:r>
      <w:r>
        <w:rPr/>
        <w:t>agricultural</w:t>
      </w:r>
      <w:r>
        <w:rPr>
          <w:spacing w:val="-10"/>
        </w:rPr>
        <w:t> </w:t>
      </w:r>
      <w:r>
        <w:rPr/>
        <w:t>commodities</w:t>
      </w:r>
      <w:r>
        <w:rPr>
          <w:spacing w:val="-10"/>
        </w:rPr>
        <w:t> </w:t>
      </w:r>
      <w:r>
        <w:rPr/>
        <w:t>and</w:t>
      </w:r>
      <w:r>
        <w:rPr>
          <w:spacing w:val="-10"/>
        </w:rPr>
        <w:t> </w:t>
      </w:r>
      <w:r>
        <w:rPr/>
        <w:t>mineral</w:t>
      </w:r>
      <w:r>
        <w:rPr>
          <w:spacing w:val="-10"/>
        </w:rPr>
        <w:t> </w:t>
      </w:r>
      <w:r>
        <w:rPr/>
        <w:t>wealth,</w:t>
      </w:r>
      <w:r>
        <w:rPr>
          <w:spacing w:val="-10"/>
        </w:rPr>
        <w:t> </w:t>
      </w:r>
      <w:r>
        <w:rPr/>
        <w:t>are</w:t>
      </w:r>
      <w:r>
        <w:rPr>
          <w:spacing w:val="-10"/>
        </w:rPr>
        <w:t> </w:t>
      </w:r>
      <w:r>
        <w:rPr/>
        <w:t>less</w:t>
      </w:r>
      <w:r>
        <w:rPr>
          <w:spacing w:val="-10"/>
        </w:rPr>
        <w:t> </w:t>
      </w:r>
      <w:r>
        <w:rPr/>
        <w:t>likely</w:t>
      </w:r>
      <w:r>
        <w:rPr>
          <w:spacing w:val="-10"/>
        </w:rPr>
        <w:t> </w:t>
      </w:r>
      <w:r>
        <w:rPr/>
        <w:t>to</w:t>
      </w:r>
      <w:r>
        <w:rPr>
          <w:spacing w:val="-10"/>
        </w:rPr>
        <w:t> </w:t>
      </w:r>
      <w:r>
        <w:rPr/>
        <w:t>see</w:t>
      </w:r>
      <w:r>
        <w:rPr>
          <w:spacing w:val="-10"/>
        </w:rPr>
        <w:t> </w:t>
      </w:r>
      <w:r>
        <w:rPr/>
        <w:t>conflict </w:t>
      </w:r>
      <w:r>
        <w:rPr>
          <w:spacing w:val="-2"/>
        </w:rPr>
        <w:t>when</w:t>
      </w:r>
      <w:r>
        <w:rPr>
          <w:spacing w:val="-4"/>
        </w:rPr>
        <w:t> </w:t>
      </w:r>
      <w:r>
        <w:rPr>
          <w:spacing w:val="-2"/>
        </w:rPr>
        <w:t>high</w:t>
      </w:r>
      <w:r>
        <w:rPr>
          <w:spacing w:val="-4"/>
        </w:rPr>
        <w:t> </w:t>
      </w:r>
      <w:r>
        <w:rPr>
          <w:spacing w:val="-2"/>
        </w:rPr>
        <w:t>agricultural</w:t>
      </w:r>
      <w:r>
        <w:rPr>
          <w:spacing w:val="-5"/>
        </w:rPr>
        <w:t> </w:t>
      </w:r>
      <w:r>
        <w:rPr>
          <w:spacing w:val="-2"/>
        </w:rPr>
        <w:t>prices</w:t>
      </w:r>
      <w:r>
        <w:rPr>
          <w:spacing w:val="-4"/>
        </w:rPr>
        <w:t> </w:t>
      </w:r>
      <w:r>
        <w:rPr>
          <w:spacing w:val="-2"/>
        </w:rPr>
        <w:t>provide</w:t>
      </w:r>
      <w:r>
        <w:rPr>
          <w:spacing w:val="-4"/>
        </w:rPr>
        <w:t> </w:t>
      </w:r>
      <w:r>
        <w:rPr>
          <w:spacing w:val="-2"/>
        </w:rPr>
        <w:t>laborers</w:t>
      </w:r>
      <w:r>
        <w:rPr>
          <w:spacing w:val="-4"/>
        </w:rPr>
        <w:t> </w:t>
      </w:r>
      <w:r>
        <w:rPr>
          <w:spacing w:val="-2"/>
        </w:rPr>
        <w:t>an</w:t>
      </w:r>
      <w:r>
        <w:rPr>
          <w:spacing w:val="-5"/>
        </w:rPr>
        <w:t> </w:t>
      </w:r>
      <w:r>
        <w:rPr>
          <w:spacing w:val="-2"/>
        </w:rPr>
        <w:t>alternative</w:t>
      </w:r>
      <w:r>
        <w:rPr>
          <w:spacing w:val="-4"/>
        </w:rPr>
        <w:t> </w:t>
      </w:r>
      <w:r>
        <w:rPr>
          <w:spacing w:val="-2"/>
        </w:rPr>
        <w:t>to</w:t>
      </w:r>
      <w:r>
        <w:rPr>
          <w:spacing w:val="-4"/>
        </w:rPr>
        <w:t> </w:t>
      </w:r>
      <w:r>
        <w:rPr>
          <w:spacing w:val="-2"/>
        </w:rPr>
        <w:t>mining</w:t>
      </w:r>
      <w:r>
        <w:rPr>
          <w:spacing w:val="-4"/>
        </w:rPr>
        <w:t> </w:t>
      </w:r>
      <w:r>
        <w:rPr>
          <w:spacing w:val="-2"/>
        </w:rPr>
        <w:t>and</w:t>
      </w:r>
      <w:r>
        <w:rPr>
          <w:spacing w:val="-4"/>
        </w:rPr>
        <w:t> </w:t>
      </w:r>
      <w:r>
        <w:rPr>
          <w:spacing w:val="-2"/>
        </w:rPr>
        <w:t>competition</w:t>
      </w:r>
      <w:r>
        <w:rPr>
          <w:spacing w:val="-4"/>
        </w:rPr>
        <w:t> </w:t>
      </w:r>
      <w:r>
        <w:rPr>
          <w:spacing w:val="-2"/>
        </w:rPr>
        <w:t>over</w:t>
      </w:r>
      <w:r>
        <w:rPr>
          <w:spacing w:val="-4"/>
        </w:rPr>
        <w:t> </w:t>
      </w:r>
      <w:r>
        <w:rPr>
          <w:spacing w:val="-2"/>
        </w:rPr>
        <w:t>its</w:t>
      </w:r>
      <w:r>
        <w:rPr>
          <w:spacing w:val="-4"/>
        </w:rPr>
        <w:t> </w:t>
      </w:r>
      <w:r>
        <w:rPr>
          <w:spacing w:val="-2"/>
        </w:rPr>
        <w:t>spoils.</w:t>
      </w:r>
      <w:r>
        <w:rPr>
          <w:rFonts w:ascii="Century Gothic"/>
          <w:spacing w:val="-2"/>
          <w:vertAlign w:val="superscript"/>
        </w:rPr>
        <w:t>16</w:t>
      </w:r>
      <w:r>
        <w:rPr>
          <w:rFonts w:ascii="Century Gothic"/>
          <w:spacing w:val="-2"/>
          <w:vertAlign w:val="baseline"/>
        </w:rPr>
        <w:t> </w:t>
      </w:r>
      <w:r>
        <w:rPr>
          <w:spacing w:val="-2"/>
          <w:vertAlign w:val="baseline"/>
        </w:rPr>
        <w:t>Low</w:t>
      </w:r>
      <w:r>
        <w:rPr>
          <w:spacing w:val="-4"/>
          <w:vertAlign w:val="baseline"/>
        </w:rPr>
        <w:t> </w:t>
      </w:r>
      <w:r>
        <w:rPr>
          <w:spacing w:val="-2"/>
          <w:vertAlign w:val="baseline"/>
        </w:rPr>
        <w:t>agricultural</w:t>
      </w:r>
      <w:r>
        <w:rPr>
          <w:spacing w:val="-4"/>
          <w:vertAlign w:val="baseline"/>
        </w:rPr>
        <w:t> </w:t>
      </w:r>
      <w:r>
        <w:rPr>
          <w:spacing w:val="-2"/>
          <w:vertAlign w:val="baseline"/>
        </w:rPr>
        <w:t>prices</w:t>
      </w:r>
      <w:r>
        <w:rPr>
          <w:spacing w:val="-4"/>
          <w:vertAlign w:val="baseline"/>
        </w:rPr>
        <w:t> </w:t>
      </w:r>
      <w:r>
        <w:rPr>
          <w:spacing w:val="-2"/>
          <w:vertAlign w:val="baseline"/>
        </w:rPr>
        <w:t>however,</w:t>
      </w:r>
      <w:r>
        <w:rPr>
          <w:spacing w:val="-3"/>
          <w:vertAlign w:val="baseline"/>
        </w:rPr>
        <w:t> </w:t>
      </w:r>
      <w:r>
        <w:rPr>
          <w:spacing w:val="-2"/>
          <w:vertAlign w:val="baseline"/>
        </w:rPr>
        <w:t>increase</w:t>
      </w:r>
      <w:r>
        <w:rPr>
          <w:spacing w:val="-4"/>
          <w:vertAlign w:val="baseline"/>
        </w:rPr>
        <w:t> </w:t>
      </w:r>
      <w:r>
        <w:rPr>
          <w:spacing w:val="-2"/>
          <w:vertAlign w:val="baseline"/>
        </w:rPr>
        <w:t>the</w:t>
      </w:r>
      <w:r>
        <w:rPr>
          <w:spacing w:val="-4"/>
          <w:vertAlign w:val="baseline"/>
        </w:rPr>
        <w:t> </w:t>
      </w:r>
      <w:r>
        <w:rPr>
          <w:spacing w:val="-2"/>
          <w:vertAlign w:val="baseline"/>
        </w:rPr>
        <w:t>attractiveness</w:t>
      </w:r>
      <w:r>
        <w:rPr>
          <w:spacing w:val="-4"/>
          <w:vertAlign w:val="baseline"/>
        </w:rPr>
        <w:t> </w:t>
      </w:r>
      <w:r>
        <w:rPr>
          <w:spacing w:val="-2"/>
          <w:vertAlign w:val="baseline"/>
        </w:rPr>
        <w:t>of</w:t>
      </w:r>
      <w:r>
        <w:rPr>
          <w:spacing w:val="-4"/>
          <w:vertAlign w:val="baseline"/>
        </w:rPr>
        <w:t> </w:t>
      </w:r>
      <w:r>
        <w:rPr>
          <w:spacing w:val="-2"/>
          <w:vertAlign w:val="baseline"/>
        </w:rPr>
        <w:t>the</w:t>
      </w:r>
      <w:r>
        <w:rPr>
          <w:spacing w:val="-4"/>
          <w:vertAlign w:val="baseline"/>
        </w:rPr>
        <w:t> </w:t>
      </w:r>
      <w:r>
        <w:rPr>
          <w:spacing w:val="-2"/>
          <w:vertAlign w:val="baseline"/>
        </w:rPr>
        <w:t>mineral</w:t>
      </w:r>
      <w:r>
        <w:rPr>
          <w:spacing w:val="-4"/>
          <w:vertAlign w:val="baseline"/>
        </w:rPr>
        <w:t> </w:t>
      </w:r>
      <w:r>
        <w:rPr>
          <w:spacing w:val="-2"/>
          <w:vertAlign w:val="baseline"/>
        </w:rPr>
        <w:t>sector</w:t>
      </w:r>
      <w:r>
        <w:rPr>
          <w:spacing w:val="-4"/>
          <w:vertAlign w:val="baseline"/>
        </w:rPr>
        <w:t> </w:t>
      </w:r>
      <w:r>
        <w:rPr>
          <w:spacing w:val="-2"/>
          <w:vertAlign w:val="baseline"/>
        </w:rPr>
        <w:t>and</w:t>
      </w:r>
      <w:r>
        <w:rPr>
          <w:spacing w:val="-4"/>
          <w:vertAlign w:val="baseline"/>
        </w:rPr>
        <w:t> </w:t>
      </w:r>
      <w:r>
        <w:rPr>
          <w:spacing w:val="-2"/>
          <w:vertAlign w:val="baseline"/>
        </w:rPr>
        <w:t>fuel</w:t>
      </w:r>
      <w:r>
        <w:rPr>
          <w:spacing w:val="-4"/>
          <w:vertAlign w:val="baseline"/>
        </w:rPr>
        <w:t> </w:t>
      </w:r>
      <w:r>
        <w:rPr>
          <w:spacing w:val="-2"/>
          <w:vertAlign w:val="baseline"/>
        </w:rPr>
        <w:t>conflict</w:t>
      </w:r>
      <w:r>
        <w:rPr>
          <w:spacing w:val="-4"/>
          <w:vertAlign w:val="baseline"/>
        </w:rPr>
        <w:t> </w:t>
      </w:r>
      <w:r>
        <w:rPr>
          <w:spacing w:val="-2"/>
          <w:vertAlign w:val="baseline"/>
        </w:rPr>
        <w:t>onset. </w:t>
      </w:r>
      <w:r>
        <w:rPr>
          <w:vertAlign w:val="baseline"/>
        </w:rPr>
        <w:t>A meta-analysis mirrors this line of reasoning, showing that increases in agricultural prices decreases conflict likelihood, while increases in oil prices increases conflict likelihood.</w:t>
      </w:r>
      <w:r>
        <w:rPr>
          <w:rFonts w:ascii="Century Gothic"/>
          <w:vertAlign w:val="superscript"/>
        </w:rPr>
        <w:t>17</w:t>
      </w:r>
    </w:p>
    <w:p>
      <w:pPr>
        <w:pStyle w:val="BodyText"/>
        <w:spacing w:line="309" w:lineRule="auto" w:before="144"/>
        <w:ind w:left="117" w:right="632" w:firstLine="298"/>
        <w:jc w:val="both"/>
        <w:rPr>
          <w:rFonts w:ascii="Century Gothic" w:hAnsi="Century Gothic"/>
        </w:rPr>
      </w:pPr>
      <w:r>
        <w:rPr/>
        <w:t>However,</w:t>
      </w:r>
      <w:r>
        <w:rPr>
          <w:spacing w:val="-3"/>
        </w:rPr>
        <w:t> </w:t>
      </w:r>
      <w:r>
        <w:rPr/>
        <w:t>other</w:t>
      </w:r>
      <w:r>
        <w:rPr>
          <w:spacing w:val="-4"/>
        </w:rPr>
        <w:t> </w:t>
      </w:r>
      <w:r>
        <w:rPr/>
        <w:t>recent</w:t>
      </w:r>
      <w:r>
        <w:rPr>
          <w:spacing w:val="-4"/>
        </w:rPr>
        <w:t> </w:t>
      </w:r>
      <w:r>
        <w:rPr/>
        <w:t>work</w:t>
      </w:r>
      <w:r>
        <w:rPr>
          <w:spacing w:val="-4"/>
        </w:rPr>
        <w:t> </w:t>
      </w:r>
      <w:r>
        <w:rPr/>
        <w:t>has</w:t>
      </w:r>
      <w:r>
        <w:rPr>
          <w:spacing w:val="-4"/>
        </w:rPr>
        <w:t> </w:t>
      </w:r>
      <w:r>
        <w:rPr/>
        <w:t>suggested</w:t>
      </w:r>
      <w:r>
        <w:rPr>
          <w:spacing w:val="-4"/>
        </w:rPr>
        <w:t> </w:t>
      </w:r>
      <w:r>
        <w:rPr/>
        <w:t>that</w:t>
      </w:r>
      <w:r>
        <w:rPr>
          <w:spacing w:val="-4"/>
        </w:rPr>
        <w:t> </w:t>
      </w:r>
      <w:r>
        <w:rPr/>
        <w:t>lootable,</w:t>
      </w:r>
      <w:r>
        <w:rPr>
          <w:spacing w:val="-3"/>
        </w:rPr>
        <w:t> </w:t>
      </w:r>
      <w:r>
        <w:rPr/>
        <w:t>capital-intensive</w:t>
      </w:r>
      <w:r>
        <w:rPr>
          <w:spacing w:val="-4"/>
        </w:rPr>
        <w:t> </w:t>
      </w:r>
      <w:r>
        <w:rPr/>
        <w:t>resources</w:t>
      </w:r>
      <w:r>
        <w:rPr>
          <w:spacing w:val="-4"/>
        </w:rPr>
        <w:t> </w:t>
      </w:r>
      <w:r>
        <w:rPr/>
        <w:t>like</w:t>
      </w:r>
      <w:r>
        <w:rPr>
          <w:spacing w:val="-4"/>
        </w:rPr>
        <w:t> </w:t>
      </w:r>
      <w:r>
        <w:rPr/>
        <w:t>oil</w:t>
      </w:r>
      <w:r>
        <w:rPr>
          <w:spacing w:val="-4"/>
        </w:rPr>
        <w:t> </w:t>
      </w:r>
      <w:r>
        <w:rPr/>
        <w:t>are</w:t>
      </w:r>
      <w:r>
        <w:rPr>
          <w:spacing w:val="-4"/>
        </w:rPr>
        <w:t> </w:t>
      </w:r>
      <w:r>
        <w:rPr/>
        <w:t>less likely</w:t>
      </w:r>
      <w:r>
        <w:rPr>
          <w:spacing w:val="-11"/>
        </w:rPr>
        <w:t> </w:t>
      </w:r>
      <w:r>
        <w:rPr/>
        <w:t>to</w:t>
      </w:r>
      <w:r>
        <w:rPr>
          <w:spacing w:val="-11"/>
        </w:rPr>
        <w:t> </w:t>
      </w:r>
      <w:r>
        <w:rPr/>
        <w:t>affect</w:t>
      </w:r>
      <w:r>
        <w:rPr>
          <w:spacing w:val="-11"/>
        </w:rPr>
        <w:t> </w:t>
      </w:r>
      <w:r>
        <w:rPr/>
        <w:t>rebel</w:t>
      </w:r>
      <w:r>
        <w:rPr>
          <w:spacing w:val="-11"/>
        </w:rPr>
        <w:t> </w:t>
      </w:r>
      <w:r>
        <w:rPr/>
        <w:t>conflict</w:t>
      </w:r>
      <w:r>
        <w:rPr>
          <w:spacing w:val="-11"/>
        </w:rPr>
        <w:t> </w:t>
      </w:r>
      <w:r>
        <w:rPr/>
        <w:t>incentives</w:t>
      </w:r>
      <w:r>
        <w:rPr>
          <w:spacing w:val="-11"/>
        </w:rPr>
        <w:t> </w:t>
      </w:r>
      <w:r>
        <w:rPr/>
        <w:t>than</w:t>
      </w:r>
      <w:r>
        <w:rPr>
          <w:spacing w:val="-10"/>
        </w:rPr>
        <w:t> </w:t>
      </w:r>
      <w:r>
        <w:rPr/>
        <w:t>labor-intensive</w:t>
      </w:r>
      <w:r>
        <w:rPr>
          <w:spacing w:val="-11"/>
        </w:rPr>
        <w:t> </w:t>
      </w:r>
      <w:r>
        <w:rPr/>
        <w:t>resources.</w:t>
      </w:r>
      <w:r>
        <w:rPr>
          <w:rFonts w:ascii="Century Gothic" w:hAnsi="Century Gothic"/>
          <w:vertAlign w:val="superscript"/>
        </w:rPr>
        <w:t>18</w:t>
      </w:r>
      <w:r>
        <w:rPr>
          <w:rFonts w:ascii="Century Gothic" w:hAnsi="Century Gothic"/>
          <w:vertAlign w:val="baseline"/>
        </w:rPr>
        <w:t> </w:t>
      </w:r>
      <w:r>
        <w:rPr>
          <w:vertAlign w:val="baseline"/>
        </w:rPr>
        <w:t>Price</w:t>
      </w:r>
      <w:r>
        <w:rPr>
          <w:spacing w:val="-10"/>
          <w:vertAlign w:val="baseline"/>
        </w:rPr>
        <w:t> </w:t>
      </w:r>
      <w:r>
        <w:rPr>
          <w:vertAlign w:val="baseline"/>
        </w:rPr>
        <w:t>shocks</w:t>
      </w:r>
      <w:r>
        <w:rPr>
          <w:spacing w:val="-11"/>
          <w:vertAlign w:val="baseline"/>
        </w:rPr>
        <w:t> </w:t>
      </w:r>
      <w:r>
        <w:rPr>
          <w:vertAlign w:val="baseline"/>
        </w:rPr>
        <w:t>to</w:t>
      </w:r>
      <w:r>
        <w:rPr>
          <w:spacing w:val="-10"/>
          <w:vertAlign w:val="baseline"/>
        </w:rPr>
        <w:t> </w:t>
      </w:r>
      <w:r>
        <w:rPr>
          <w:vertAlign w:val="baseline"/>
        </w:rPr>
        <w:t>labor-intensive resources</w:t>
      </w:r>
      <w:r>
        <w:rPr>
          <w:spacing w:val="-2"/>
          <w:vertAlign w:val="baseline"/>
        </w:rPr>
        <w:t> </w:t>
      </w:r>
      <w:r>
        <w:rPr>
          <w:vertAlign w:val="baseline"/>
        </w:rPr>
        <w:t>are</w:t>
      </w:r>
      <w:r>
        <w:rPr>
          <w:spacing w:val="-2"/>
          <w:vertAlign w:val="baseline"/>
        </w:rPr>
        <w:t> </w:t>
      </w:r>
      <w:r>
        <w:rPr>
          <w:vertAlign w:val="baseline"/>
        </w:rPr>
        <w:t>more</w:t>
      </w:r>
      <w:r>
        <w:rPr>
          <w:spacing w:val="-2"/>
          <w:vertAlign w:val="baseline"/>
        </w:rPr>
        <w:t> </w:t>
      </w:r>
      <w:r>
        <w:rPr>
          <w:vertAlign w:val="baseline"/>
        </w:rPr>
        <w:t>likely</w:t>
      </w:r>
      <w:r>
        <w:rPr>
          <w:spacing w:val="-2"/>
          <w:vertAlign w:val="baseline"/>
        </w:rPr>
        <w:t> </w:t>
      </w:r>
      <w:r>
        <w:rPr>
          <w:vertAlign w:val="baseline"/>
        </w:rPr>
        <w:t>to</w:t>
      </w:r>
      <w:r>
        <w:rPr>
          <w:spacing w:val="-2"/>
          <w:vertAlign w:val="baseline"/>
        </w:rPr>
        <w:t> </w:t>
      </w:r>
      <w:r>
        <w:rPr>
          <w:vertAlign w:val="baseline"/>
        </w:rPr>
        <w:t>provoke</w:t>
      </w:r>
      <w:r>
        <w:rPr>
          <w:spacing w:val="-2"/>
          <w:vertAlign w:val="baseline"/>
        </w:rPr>
        <w:t> </w:t>
      </w:r>
      <w:r>
        <w:rPr>
          <w:vertAlign w:val="baseline"/>
        </w:rPr>
        <w:t>conflict</w:t>
      </w:r>
      <w:r>
        <w:rPr>
          <w:spacing w:val="-2"/>
          <w:vertAlign w:val="baseline"/>
        </w:rPr>
        <w:t> </w:t>
      </w:r>
      <w:r>
        <w:rPr>
          <w:vertAlign w:val="baseline"/>
        </w:rPr>
        <w:t>given</w:t>
      </w:r>
      <w:r>
        <w:rPr>
          <w:spacing w:val="-2"/>
          <w:vertAlign w:val="baseline"/>
        </w:rPr>
        <w:t> </w:t>
      </w:r>
      <w:r>
        <w:rPr>
          <w:vertAlign w:val="baseline"/>
        </w:rPr>
        <w:t>the</w:t>
      </w:r>
      <w:r>
        <w:rPr>
          <w:spacing w:val="-2"/>
          <w:vertAlign w:val="baseline"/>
        </w:rPr>
        <w:t> </w:t>
      </w:r>
      <w:r>
        <w:rPr>
          <w:vertAlign w:val="baseline"/>
        </w:rPr>
        <w:t>greater</w:t>
      </w:r>
      <w:r>
        <w:rPr>
          <w:spacing w:val="-2"/>
          <w:vertAlign w:val="baseline"/>
        </w:rPr>
        <w:t> </w:t>
      </w:r>
      <w:r>
        <w:rPr>
          <w:vertAlign w:val="baseline"/>
        </w:rPr>
        <w:t>returns</w:t>
      </w:r>
      <w:r>
        <w:rPr>
          <w:spacing w:val="-2"/>
          <w:vertAlign w:val="baseline"/>
        </w:rPr>
        <w:t> </w:t>
      </w:r>
      <w:r>
        <w:rPr>
          <w:vertAlign w:val="baseline"/>
        </w:rPr>
        <w:t>and</w:t>
      </w:r>
      <w:r>
        <w:rPr>
          <w:spacing w:val="-2"/>
          <w:vertAlign w:val="baseline"/>
        </w:rPr>
        <w:t> </w:t>
      </w:r>
      <w:r>
        <w:rPr>
          <w:vertAlign w:val="baseline"/>
        </w:rPr>
        <w:t>employment</w:t>
      </w:r>
      <w:r>
        <w:rPr>
          <w:spacing w:val="-2"/>
          <w:vertAlign w:val="baseline"/>
        </w:rPr>
        <w:t> </w:t>
      </w:r>
      <w:r>
        <w:rPr>
          <w:vertAlign w:val="baseline"/>
        </w:rPr>
        <w:t>opportunities, rather</w:t>
      </w:r>
      <w:r>
        <w:rPr>
          <w:spacing w:val="-11"/>
          <w:vertAlign w:val="baseline"/>
        </w:rPr>
        <w:t> </w:t>
      </w:r>
      <w:r>
        <w:rPr>
          <w:vertAlign w:val="baseline"/>
        </w:rPr>
        <w:t>than</w:t>
      </w:r>
      <w:r>
        <w:rPr>
          <w:spacing w:val="-11"/>
          <w:vertAlign w:val="baseline"/>
        </w:rPr>
        <w:t> </w:t>
      </w:r>
      <w:r>
        <w:rPr>
          <w:vertAlign w:val="baseline"/>
        </w:rPr>
        <w:t>capital</w:t>
      </w:r>
      <w:r>
        <w:rPr>
          <w:spacing w:val="-11"/>
          <w:vertAlign w:val="baseline"/>
        </w:rPr>
        <w:t> </w:t>
      </w:r>
      <w:r>
        <w:rPr>
          <w:vertAlign w:val="baseline"/>
        </w:rPr>
        <w:t>intensive</w:t>
      </w:r>
      <w:r>
        <w:rPr>
          <w:spacing w:val="-11"/>
          <w:vertAlign w:val="baseline"/>
        </w:rPr>
        <w:t> </w:t>
      </w:r>
      <w:r>
        <w:rPr>
          <w:vertAlign w:val="baseline"/>
        </w:rPr>
        <w:t>resources</w:t>
      </w:r>
      <w:r>
        <w:rPr>
          <w:spacing w:val="-11"/>
          <w:vertAlign w:val="baseline"/>
        </w:rPr>
        <w:t> </w:t>
      </w:r>
      <w:r>
        <w:rPr>
          <w:vertAlign w:val="baseline"/>
        </w:rPr>
        <w:t>like</w:t>
      </w:r>
      <w:r>
        <w:rPr>
          <w:spacing w:val="-11"/>
          <w:vertAlign w:val="baseline"/>
        </w:rPr>
        <w:t> </w:t>
      </w:r>
      <w:r>
        <w:rPr>
          <w:vertAlign w:val="baseline"/>
        </w:rPr>
        <w:t>oil</w:t>
      </w:r>
      <w:r>
        <w:rPr>
          <w:spacing w:val="-11"/>
          <w:vertAlign w:val="baseline"/>
        </w:rPr>
        <w:t> </w:t>
      </w:r>
      <w:r>
        <w:rPr>
          <w:vertAlign w:val="baseline"/>
        </w:rPr>
        <w:t>and</w:t>
      </w:r>
      <w:r>
        <w:rPr>
          <w:spacing w:val="-11"/>
          <w:vertAlign w:val="baseline"/>
        </w:rPr>
        <w:t> </w:t>
      </w:r>
      <w:r>
        <w:rPr>
          <w:vertAlign w:val="baseline"/>
        </w:rPr>
        <w:t>gas.</w:t>
      </w:r>
      <w:r>
        <w:rPr>
          <w:spacing w:val="3"/>
          <w:vertAlign w:val="baseline"/>
        </w:rPr>
        <w:t> </w:t>
      </w:r>
      <w:r>
        <w:rPr>
          <w:vertAlign w:val="baseline"/>
        </w:rPr>
        <w:t>Despite</w:t>
      </w:r>
      <w:r>
        <w:rPr>
          <w:spacing w:val="-11"/>
          <w:vertAlign w:val="baseline"/>
        </w:rPr>
        <w:t> </w:t>
      </w:r>
      <w:r>
        <w:rPr>
          <w:vertAlign w:val="baseline"/>
        </w:rPr>
        <w:t>this,</w:t>
      </w:r>
      <w:r>
        <w:rPr>
          <w:spacing w:val="-11"/>
          <w:vertAlign w:val="baseline"/>
        </w:rPr>
        <w:t> </w:t>
      </w:r>
      <w:r>
        <w:rPr>
          <w:vertAlign w:val="baseline"/>
        </w:rPr>
        <w:t>commodity</w:t>
      </w:r>
      <w:r>
        <w:rPr>
          <w:spacing w:val="-11"/>
          <w:vertAlign w:val="baseline"/>
        </w:rPr>
        <w:t> </w:t>
      </w:r>
      <w:r>
        <w:rPr>
          <w:vertAlign w:val="baseline"/>
        </w:rPr>
        <w:t>price</w:t>
      </w:r>
      <w:r>
        <w:rPr>
          <w:spacing w:val="-11"/>
          <w:vertAlign w:val="baseline"/>
        </w:rPr>
        <w:t> </w:t>
      </w:r>
      <w:r>
        <w:rPr>
          <w:vertAlign w:val="baseline"/>
        </w:rPr>
        <w:t>shocks</w:t>
      </w:r>
      <w:r>
        <w:rPr>
          <w:spacing w:val="-11"/>
          <w:vertAlign w:val="baseline"/>
        </w:rPr>
        <w:t> </w:t>
      </w:r>
      <w:r>
        <w:rPr>
          <w:vertAlign w:val="baseline"/>
        </w:rPr>
        <w:t>(including oil</w:t>
      </w:r>
      <w:r>
        <w:rPr>
          <w:spacing w:val="-13"/>
          <w:vertAlign w:val="baseline"/>
        </w:rPr>
        <w:t> </w:t>
      </w:r>
      <w:r>
        <w:rPr>
          <w:vertAlign w:val="baseline"/>
        </w:rPr>
        <w:t>price</w:t>
      </w:r>
      <w:r>
        <w:rPr>
          <w:spacing w:val="-12"/>
          <w:vertAlign w:val="baseline"/>
        </w:rPr>
        <w:t> </w:t>
      </w:r>
      <w:r>
        <w:rPr>
          <w:vertAlign w:val="baseline"/>
        </w:rPr>
        <w:t>shocks)</w:t>
      </w:r>
      <w:r>
        <w:rPr>
          <w:spacing w:val="-12"/>
          <w:vertAlign w:val="baseline"/>
        </w:rPr>
        <w:t> </w:t>
      </w:r>
      <w:r>
        <w:rPr>
          <w:vertAlign w:val="baseline"/>
        </w:rPr>
        <w:t>have</w:t>
      </w:r>
      <w:r>
        <w:rPr>
          <w:spacing w:val="-12"/>
          <w:vertAlign w:val="baseline"/>
        </w:rPr>
        <w:t> </w:t>
      </w:r>
      <w:r>
        <w:rPr>
          <w:vertAlign w:val="baseline"/>
        </w:rPr>
        <w:t>been</w:t>
      </w:r>
      <w:r>
        <w:rPr>
          <w:spacing w:val="-12"/>
          <w:vertAlign w:val="baseline"/>
        </w:rPr>
        <w:t> </w:t>
      </w:r>
      <w:r>
        <w:rPr>
          <w:vertAlign w:val="baseline"/>
        </w:rPr>
        <w:t>shown</w:t>
      </w:r>
      <w:r>
        <w:rPr>
          <w:spacing w:val="-12"/>
          <w:vertAlign w:val="baseline"/>
        </w:rPr>
        <w:t> </w:t>
      </w:r>
      <w:r>
        <w:rPr>
          <w:vertAlign w:val="baseline"/>
        </w:rPr>
        <w:t>to</w:t>
      </w:r>
      <w:r>
        <w:rPr>
          <w:spacing w:val="-12"/>
          <w:vertAlign w:val="baseline"/>
        </w:rPr>
        <w:t> </w:t>
      </w:r>
      <w:r>
        <w:rPr>
          <w:vertAlign w:val="baseline"/>
        </w:rPr>
        <w:t>effect</w:t>
      </w:r>
      <w:r>
        <w:rPr>
          <w:spacing w:val="-12"/>
          <w:vertAlign w:val="baseline"/>
        </w:rPr>
        <w:t> </w:t>
      </w:r>
      <w:r>
        <w:rPr>
          <w:vertAlign w:val="baseline"/>
        </w:rPr>
        <w:t>on</w:t>
      </w:r>
      <w:r>
        <w:rPr>
          <w:spacing w:val="-12"/>
          <w:vertAlign w:val="baseline"/>
        </w:rPr>
        <w:t> </w:t>
      </w:r>
      <w:r>
        <w:rPr>
          <w:vertAlign w:val="baseline"/>
        </w:rPr>
        <w:t>conflict</w:t>
      </w:r>
      <w:r>
        <w:rPr>
          <w:spacing w:val="-12"/>
          <w:vertAlign w:val="baseline"/>
        </w:rPr>
        <w:t> </w:t>
      </w:r>
      <w:r>
        <w:rPr>
          <w:vertAlign w:val="baseline"/>
        </w:rPr>
        <w:t>intensity</w:t>
      </w:r>
      <w:r>
        <w:rPr>
          <w:spacing w:val="-12"/>
          <w:vertAlign w:val="baseline"/>
        </w:rPr>
        <w:t> </w:t>
      </w:r>
      <w:r>
        <w:rPr>
          <w:vertAlign w:val="baseline"/>
        </w:rPr>
        <w:t>measured</w:t>
      </w:r>
      <w:r>
        <w:rPr>
          <w:spacing w:val="-12"/>
          <w:vertAlign w:val="baseline"/>
        </w:rPr>
        <w:t> </w:t>
      </w:r>
      <w:r>
        <w:rPr>
          <w:vertAlign w:val="baseline"/>
        </w:rPr>
        <w:t>in</w:t>
      </w:r>
      <w:r>
        <w:rPr>
          <w:spacing w:val="-12"/>
          <w:vertAlign w:val="baseline"/>
        </w:rPr>
        <w:t> </w:t>
      </w:r>
      <w:r>
        <w:rPr>
          <w:vertAlign w:val="baseline"/>
        </w:rPr>
        <w:t>battle</w:t>
      </w:r>
      <w:r>
        <w:rPr>
          <w:spacing w:val="-12"/>
          <w:vertAlign w:val="baseline"/>
        </w:rPr>
        <w:t> </w:t>
      </w:r>
      <w:r>
        <w:rPr>
          <w:vertAlign w:val="baseline"/>
        </w:rPr>
        <w:t>deaths,</w:t>
      </w:r>
      <w:r>
        <w:rPr>
          <w:spacing w:val="-12"/>
          <w:vertAlign w:val="baseline"/>
        </w:rPr>
        <w:t> </w:t>
      </w:r>
      <w:r>
        <w:rPr>
          <w:vertAlign w:val="baseline"/>
        </w:rPr>
        <w:t>conflict</w:t>
      </w:r>
      <w:r>
        <w:rPr>
          <w:spacing w:val="-12"/>
          <w:vertAlign w:val="baseline"/>
        </w:rPr>
        <w:t> </w:t>
      </w:r>
      <w:r>
        <w:rPr>
          <w:vertAlign w:val="baseline"/>
        </w:rPr>
        <w:t>onset and</w:t>
      </w:r>
      <w:r>
        <w:rPr>
          <w:spacing w:val="-3"/>
          <w:vertAlign w:val="baseline"/>
        </w:rPr>
        <w:t> </w:t>
      </w:r>
      <w:r>
        <w:rPr>
          <w:vertAlign w:val="baseline"/>
        </w:rPr>
        <w:t>duration,</w:t>
      </w:r>
      <w:r>
        <w:rPr>
          <w:spacing w:val="-3"/>
          <w:vertAlign w:val="baseline"/>
        </w:rPr>
        <w:t> </w:t>
      </w:r>
      <w:r>
        <w:rPr>
          <w:vertAlign w:val="baseline"/>
        </w:rPr>
        <w:t>and</w:t>
      </w:r>
      <w:r>
        <w:rPr>
          <w:spacing w:val="-3"/>
          <w:vertAlign w:val="baseline"/>
        </w:rPr>
        <w:t> </w:t>
      </w:r>
      <w:r>
        <w:rPr>
          <w:vertAlign w:val="baseline"/>
        </w:rPr>
        <w:t>coups.</w:t>
      </w:r>
      <w:r>
        <w:rPr>
          <w:spacing w:val="15"/>
          <w:vertAlign w:val="baseline"/>
        </w:rPr>
        <w:t> </w:t>
      </w:r>
      <w:r>
        <w:rPr>
          <w:vertAlign w:val="baseline"/>
        </w:rPr>
        <w:t>Notably,</w:t>
      </w:r>
      <w:r>
        <w:rPr>
          <w:spacing w:val="-3"/>
          <w:vertAlign w:val="baseline"/>
        </w:rPr>
        <w:t> </w:t>
      </w:r>
      <w:r>
        <w:rPr>
          <w:vertAlign w:val="baseline"/>
        </w:rPr>
        <w:t>rising</w:t>
      </w:r>
      <w:r>
        <w:rPr>
          <w:spacing w:val="-3"/>
          <w:vertAlign w:val="baseline"/>
        </w:rPr>
        <w:t> </w:t>
      </w:r>
      <w:r>
        <w:rPr>
          <w:vertAlign w:val="baseline"/>
        </w:rPr>
        <w:t>oil</w:t>
      </w:r>
      <w:r>
        <w:rPr>
          <w:spacing w:val="-3"/>
          <w:vertAlign w:val="baseline"/>
        </w:rPr>
        <w:t> </w:t>
      </w:r>
      <w:r>
        <w:rPr>
          <w:vertAlign w:val="baseline"/>
        </w:rPr>
        <w:t>and</w:t>
      </w:r>
      <w:r>
        <w:rPr>
          <w:spacing w:val="-3"/>
          <w:vertAlign w:val="baseline"/>
        </w:rPr>
        <w:t> </w:t>
      </w:r>
      <w:r>
        <w:rPr>
          <w:vertAlign w:val="baseline"/>
        </w:rPr>
        <w:t>mineral</w:t>
      </w:r>
      <w:r>
        <w:rPr>
          <w:spacing w:val="-3"/>
          <w:vertAlign w:val="baseline"/>
        </w:rPr>
        <w:t> </w:t>
      </w:r>
      <w:r>
        <w:rPr>
          <w:vertAlign w:val="baseline"/>
        </w:rPr>
        <w:t>prices</w:t>
      </w:r>
      <w:r>
        <w:rPr>
          <w:spacing w:val="-3"/>
          <w:vertAlign w:val="baseline"/>
        </w:rPr>
        <w:t> </w:t>
      </w:r>
      <w:r>
        <w:rPr>
          <w:vertAlign w:val="baseline"/>
        </w:rPr>
        <w:t>have</w:t>
      </w:r>
      <w:r>
        <w:rPr>
          <w:spacing w:val="-3"/>
          <w:vertAlign w:val="baseline"/>
        </w:rPr>
        <w:t> </w:t>
      </w:r>
      <w:r>
        <w:rPr>
          <w:vertAlign w:val="baseline"/>
        </w:rPr>
        <w:t>been</w:t>
      </w:r>
      <w:r>
        <w:rPr>
          <w:spacing w:val="-3"/>
          <w:vertAlign w:val="baseline"/>
        </w:rPr>
        <w:t> </w:t>
      </w:r>
      <w:r>
        <w:rPr>
          <w:vertAlign w:val="baseline"/>
        </w:rPr>
        <w:t>associated</w:t>
      </w:r>
      <w:r>
        <w:rPr>
          <w:spacing w:val="-3"/>
          <w:vertAlign w:val="baseline"/>
        </w:rPr>
        <w:t> </w:t>
      </w:r>
      <w:r>
        <w:rPr>
          <w:vertAlign w:val="baseline"/>
        </w:rPr>
        <w:t>with</w:t>
      </w:r>
      <w:r>
        <w:rPr>
          <w:spacing w:val="-3"/>
          <w:vertAlign w:val="baseline"/>
        </w:rPr>
        <w:t> </w:t>
      </w:r>
      <w:r>
        <w:rPr>
          <w:vertAlign w:val="baseline"/>
        </w:rPr>
        <w:t>shorter,</w:t>
      </w:r>
      <w:r>
        <w:rPr>
          <w:spacing w:val="-3"/>
          <w:vertAlign w:val="baseline"/>
        </w:rPr>
        <w:t> </w:t>
      </w:r>
      <w:r>
        <w:rPr>
          <w:vertAlign w:val="baseline"/>
        </w:rPr>
        <w:t>less intense</w:t>
      </w:r>
      <w:r>
        <w:rPr>
          <w:spacing w:val="-13"/>
          <w:vertAlign w:val="baseline"/>
        </w:rPr>
        <w:t> </w:t>
      </w:r>
      <w:r>
        <w:rPr>
          <w:vertAlign w:val="baseline"/>
        </w:rPr>
        <w:t>conflicts</w:t>
      </w:r>
      <w:r>
        <w:rPr>
          <w:spacing w:val="-12"/>
          <w:vertAlign w:val="baseline"/>
        </w:rPr>
        <w:t> </w:t>
      </w:r>
      <w:r>
        <w:rPr>
          <w:vertAlign w:val="baseline"/>
        </w:rPr>
        <w:t>in</w:t>
      </w:r>
      <w:r>
        <w:rPr>
          <w:spacing w:val="-12"/>
          <w:vertAlign w:val="baseline"/>
        </w:rPr>
        <w:t> </w:t>
      </w:r>
      <w:r>
        <w:rPr>
          <w:vertAlign w:val="baseline"/>
        </w:rPr>
        <w:t>recent</w:t>
      </w:r>
      <w:r>
        <w:rPr>
          <w:spacing w:val="-12"/>
          <w:vertAlign w:val="baseline"/>
        </w:rPr>
        <w:t> </w:t>
      </w:r>
      <w:r>
        <w:rPr>
          <w:vertAlign w:val="baseline"/>
        </w:rPr>
        <w:t>studies,</w:t>
      </w:r>
      <w:r>
        <w:rPr>
          <w:spacing w:val="-12"/>
          <w:vertAlign w:val="baseline"/>
        </w:rPr>
        <w:t> </w:t>
      </w:r>
      <w:r>
        <w:rPr>
          <w:vertAlign w:val="baseline"/>
        </w:rPr>
        <w:t>including</w:t>
      </w:r>
      <w:r>
        <w:rPr>
          <w:spacing w:val="-12"/>
          <w:vertAlign w:val="baseline"/>
        </w:rPr>
        <w:t> </w:t>
      </w:r>
      <w:r>
        <w:rPr>
          <w:vertAlign w:val="baseline"/>
        </w:rPr>
        <w:t>in</w:t>
      </w:r>
      <w:r>
        <w:rPr>
          <w:spacing w:val="-12"/>
          <w:vertAlign w:val="baseline"/>
        </w:rPr>
        <w:t> </w:t>
      </w:r>
      <w:r>
        <w:rPr>
          <w:vertAlign w:val="baseline"/>
        </w:rPr>
        <w:t>a</w:t>
      </w:r>
      <w:r>
        <w:rPr>
          <w:spacing w:val="-12"/>
          <w:vertAlign w:val="baseline"/>
        </w:rPr>
        <w:t> </w:t>
      </w:r>
      <w:r>
        <w:rPr>
          <w:vertAlign w:val="baseline"/>
        </w:rPr>
        <w:t>key</w:t>
      </w:r>
      <w:r>
        <w:rPr>
          <w:spacing w:val="-12"/>
          <w:vertAlign w:val="baseline"/>
        </w:rPr>
        <w:t> </w:t>
      </w:r>
      <w:r>
        <w:rPr>
          <w:vertAlign w:val="baseline"/>
        </w:rPr>
        <w:t>2014</w:t>
      </w:r>
      <w:r>
        <w:rPr>
          <w:spacing w:val="-12"/>
          <w:vertAlign w:val="baseline"/>
        </w:rPr>
        <w:t> </w:t>
      </w:r>
      <w:r>
        <w:rPr>
          <w:vertAlign w:val="baseline"/>
        </w:rPr>
        <w:t>study</w:t>
      </w:r>
      <w:r>
        <w:rPr>
          <w:spacing w:val="-12"/>
          <w:vertAlign w:val="baseline"/>
        </w:rPr>
        <w:t> </w:t>
      </w:r>
      <w:r>
        <w:rPr>
          <w:vertAlign w:val="baseline"/>
        </w:rPr>
        <w:t>by</w:t>
      </w:r>
      <w:r>
        <w:rPr>
          <w:spacing w:val="-12"/>
          <w:vertAlign w:val="baseline"/>
        </w:rPr>
        <w:t> </w:t>
      </w:r>
      <w:r>
        <w:rPr>
          <w:vertAlign w:val="baseline"/>
        </w:rPr>
        <w:t>Bazzi</w:t>
      </w:r>
      <w:r>
        <w:rPr>
          <w:spacing w:val="-12"/>
          <w:vertAlign w:val="baseline"/>
        </w:rPr>
        <w:t> </w:t>
      </w:r>
      <w:r>
        <w:rPr>
          <w:vertAlign w:val="baseline"/>
        </w:rPr>
        <w:t>&amp;</w:t>
      </w:r>
      <w:r>
        <w:rPr>
          <w:spacing w:val="-12"/>
          <w:vertAlign w:val="baseline"/>
        </w:rPr>
        <w:t> </w:t>
      </w:r>
      <w:r>
        <w:rPr>
          <w:vertAlign w:val="baseline"/>
        </w:rPr>
        <w:t>Blattman.</w:t>
      </w:r>
      <w:r>
        <w:rPr>
          <w:rFonts w:ascii="Century Gothic" w:hAnsi="Century Gothic"/>
          <w:vertAlign w:val="superscript"/>
        </w:rPr>
        <w:t>19</w:t>
      </w:r>
      <w:r>
        <w:rPr>
          <w:rFonts w:ascii="Century Gothic" w:hAnsi="Century Gothic"/>
          <w:spacing w:val="9"/>
          <w:vertAlign w:val="baseline"/>
        </w:rPr>
        <w:t> </w:t>
      </w:r>
      <w:r>
        <w:rPr>
          <w:vertAlign w:val="baseline"/>
        </w:rPr>
        <w:t>While</w:t>
      </w:r>
      <w:r>
        <w:rPr>
          <w:spacing w:val="-12"/>
          <w:vertAlign w:val="baseline"/>
        </w:rPr>
        <w:t> </w:t>
      </w:r>
      <w:r>
        <w:rPr>
          <w:vertAlign w:val="baseline"/>
        </w:rPr>
        <w:t>this</w:t>
      </w:r>
      <w:r>
        <w:rPr>
          <w:spacing w:val="-12"/>
          <w:vertAlign w:val="baseline"/>
        </w:rPr>
        <w:t> </w:t>
      </w:r>
      <w:r>
        <w:rPr>
          <w:vertAlign w:val="baseline"/>
        </w:rPr>
        <w:t>study focused</w:t>
      </w:r>
      <w:r>
        <w:rPr>
          <w:spacing w:val="-7"/>
          <w:vertAlign w:val="baseline"/>
        </w:rPr>
        <w:t> </w:t>
      </w:r>
      <w:r>
        <w:rPr>
          <w:vertAlign w:val="baseline"/>
        </w:rPr>
        <w:t>primarily</w:t>
      </w:r>
      <w:r>
        <w:rPr>
          <w:spacing w:val="-7"/>
          <w:vertAlign w:val="baseline"/>
        </w:rPr>
        <w:t> </w:t>
      </w:r>
      <w:r>
        <w:rPr>
          <w:vertAlign w:val="baseline"/>
        </w:rPr>
        <w:t>on</w:t>
      </w:r>
      <w:r>
        <w:rPr>
          <w:spacing w:val="-7"/>
          <w:vertAlign w:val="baseline"/>
        </w:rPr>
        <w:t> </w:t>
      </w:r>
      <w:r>
        <w:rPr>
          <w:vertAlign w:val="baseline"/>
        </w:rPr>
        <w:t>agricultural</w:t>
      </w:r>
      <w:r>
        <w:rPr>
          <w:spacing w:val="-7"/>
          <w:vertAlign w:val="baseline"/>
        </w:rPr>
        <w:t> </w:t>
      </w:r>
      <w:r>
        <w:rPr>
          <w:vertAlign w:val="baseline"/>
        </w:rPr>
        <w:t>price</w:t>
      </w:r>
      <w:r>
        <w:rPr>
          <w:spacing w:val="-7"/>
          <w:vertAlign w:val="baseline"/>
        </w:rPr>
        <w:t> </w:t>
      </w:r>
      <w:r>
        <w:rPr>
          <w:vertAlign w:val="baseline"/>
        </w:rPr>
        <w:t>shocks,</w:t>
      </w:r>
      <w:r>
        <w:rPr>
          <w:spacing w:val="-7"/>
          <w:vertAlign w:val="baseline"/>
        </w:rPr>
        <w:t> </w:t>
      </w:r>
      <w:r>
        <w:rPr>
          <w:vertAlign w:val="baseline"/>
        </w:rPr>
        <w:t>and</w:t>
      </w:r>
      <w:r>
        <w:rPr>
          <w:spacing w:val="-7"/>
          <w:vertAlign w:val="baseline"/>
        </w:rPr>
        <w:t> </w:t>
      </w:r>
      <w:r>
        <w:rPr>
          <w:vertAlign w:val="baseline"/>
        </w:rPr>
        <w:t>bundled</w:t>
      </w:r>
      <w:r>
        <w:rPr>
          <w:spacing w:val="-7"/>
          <w:vertAlign w:val="baseline"/>
        </w:rPr>
        <w:t> </w:t>
      </w:r>
      <w:r>
        <w:rPr>
          <w:vertAlign w:val="baseline"/>
        </w:rPr>
        <w:t>oil</w:t>
      </w:r>
      <w:r>
        <w:rPr>
          <w:spacing w:val="-7"/>
          <w:vertAlign w:val="baseline"/>
        </w:rPr>
        <w:t> </w:t>
      </w:r>
      <w:r>
        <w:rPr>
          <w:vertAlign w:val="baseline"/>
        </w:rPr>
        <w:t>and</w:t>
      </w:r>
      <w:r>
        <w:rPr>
          <w:spacing w:val="-7"/>
          <w:vertAlign w:val="baseline"/>
        </w:rPr>
        <w:t> </w:t>
      </w:r>
      <w:r>
        <w:rPr>
          <w:vertAlign w:val="baseline"/>
        </w:rPr>
        <w:t>gas</w:t>
      </w:r>
      <w:r>
        <w:rPr>
          <w:spacing w:val="-7"/>
          <w:vertAlign w:val="baseline"/>
        </w:rPr>
        <w:t> </w:t>
      </w:r>
      <w:r>
        <w:rPr>
          <w:vertAlign w:val="baseline"/>
        </w:rPr>
        <w:t>price</w:t>
      </w:r>
      <w:r>
        <w:rPr>
          <w:spacing w:val="-7"/>
          <w:vertAlign w:val="baseline"/>
        </w:rPr>
        <w:t> </w:t>
      </w:r>
      <w:r>
        <w:rPr>
          <w:vertAlign w:val="baseline"/>
        </w:rPr>
        <w:t>shocks</w:t>
      </w:r>
      <w:r>
        <w:rPr>
          <w:spacing w:val="-7"/>
          <w:vertAlign w:val="baseline"/>
        </w:rPr>
        <w:t> </w:t>
      </w:r>
      <w:r>
        <w:rPr>
          <w:vertAlign w:val="baseline"/>
        </w:rPr>
        <w:t>with</w:t>
      </w:r>
      <w:r>
        <w:rPr>
          <w:spacing w:val="-7"/>
          <w:vertAlign w:val="baseline"/>
        </w:rPr>
        <w:t> </w:t>
      </w:r>
      <w:r>
        <w:rPr>
          <w:vertAlign w:val="baseline"/>
        </w:rPr>
        <w:t>mineral</w:t>
      </w:r>
      <w:r>
        <w:rPr>
          <w:spacing w:val="-7"/>
          <w:vertAlign w:val="baseline"/>
        </w:rPr>
        <w:t> </w:t>
      </w:r>
      <w:r>
        <w:rPr>
          <w:vertAlign w:val="baseline"/>
        </w:rPr>
        <w:t>price </w:t>
      </w:r>
      <w:r>
        <w:rPr>
          <w:spacing w:val="-2"/>
          <w:vertAlign w:val="baseline"/>
        </w:rPr>
        <w:t>shocks,</w:t>
      </w:r>
      <w:r>
        <w:rPr>
          <w:spacing w:val="-5"/>
          <w:vertAlign w:val="baseline"/>
        </w:rPr>
        <w:t> </w:t>
      </w:r>
      <w:r>
        <w:rPr>
          <w:spacing w:val="-2"/>
          <w:vertAlign w:val="baseline"/>
        </w:rPr>
        <w:t>it</w:t>
      </w:r>
      <w:r>
        <w:rPr>
          <w:spacing w:val="-8"/>
          <w:vertAlign w:val="baseline"/>
        </w:rPr>
        <w:t> </w:t>
      </w:r>
      <w:r>
        <w:rPr>
          <w:spacing w:val="-2"/>
          <w:vertAlign w:val="baseline"/>
        </w:rPr>
        <w:t>provides</w:t>
      </w:r>
      <w:r>
        <w:rPr>
          <w:spacing w:val="-8"/>
          <w:vertAlign w:val="baseline"/>
        </w:rPr>
        <w:t> </w:t>
      </w:r>
      <w:r>
        <w:rPr>
          <w:spacing w:val="-2"/>
          <w:vertAlign w:val="baseline"/>
        </w:rPr>
        <w:t>an</w:t>
      </w:r>
      <w:r>
        <w:rPr>
          <w:spacing w:val="-8"/>
          <w:vertAlign w:val="baseline"/>
        </w:rPr>
        <w:t> </w:t>
      </w:r>
      <w:r>
        <w:rPr>
          <w:spacing w:val="-2"/>
          <w:vertAlign w:val="baseline"/>
        </w:rPr>
        <w:t>important</w:t>
      </w:r>
      <w:r>
        <w:rPr>
          <w:spacing w:val="-8"/>
          <w:vertAlign w:val="baseline"/>
        </w:rPr>
        <w:t> </w:t>
      </w:r>
      <w:r>
        <w:rPr>
          <w:spacing w:val="-2"/>
          <w:vertAlign w:val="baseline"/>
        </w:rPr>
        <w:t>addition</w:t>
      </w:r>
      <w:r>
        <w:rPr>
          <w:spacing w:val="-8"/>
          <w:vertAlign w:val="baseline"/>
        </w:rPr>
        <w:t> </w:t>
      </w:r>
      <w:r>
        <w:rPr>
          <w:spacing w:val="-2"/>
          <w:vertAlign w:val="baseline"/>
        </w:rPr>
        <w:t>to</w:t>
      </w:r>
      <w:r>
        <w:rPr>
          <w:spacing w:val="-8"/>
          <w:vertAlign w:val="baseline"/>
        </w:rPr>
        <w:t> </w:t>
      </w:r>
      <w:r>
        <w:rPr>
          <w:spacing w:val="-2"/>
          <w:vertAlign w:val="baseline"/>
        </w:rPr>
        <w:t>the</w:t>
      </w:r>
      <w:r>
        <w:rPr>
          <w:spacing w:val="-8"/>
          <w:vertAlign w:val="baseline"/>
        </w:rPr>
        <w:t> </w:t>
      </w:r>
      <w:r>
        <w:rPr>
          <w:spacing w:val="-2"/>
          <w:vertAlign w:val="baseline"/>
        </w:rPr>
        <w:t>literature</w:t>
      </w:r>
      <w:r>
        <w:rPr>
          <w:spacing w:val="-8"/>
          <w:vertAlign w:val="baseline"/>
        </w:rPr>
        <w:t> </w:t>
      </w:r>
      <w:r>
        <w:rPr>
          <w:spacing w:val="-2"/>
          <w:vertAlign w:val="baseline"/>
        </w:rPr>
        <w:t>and</w:t>
      </w:r>
      <w:r>
        <w:rPr>
          <w:spacing w:val="-8"/>
          <w:vertAlign w:val="baseline"/>
        </w:rPr>
        <w:t> </w:t>
      </w:r>
      <w:r>
        <w:rPr>
          <w:spacing w:val="-2"/>
          <w:vertAlign w:val="baseline"/>
        </w:rPr>
        <w:t>some</w:t>
      </w:r>
      <w:r>
        <w:rPr>
          <w:spacing w:val="-8"/>
          <w:vertAlign w:val="baseline"/>
        </w:rPr>
        <w:t> </w:t>
      </w:r>
      <w:r>
        <w:rPr>
          <w:spacing w:val="-2"/>
          <w:vertAlign w:val="baseline"/>
        </w:rPr>
        <w:t>basis</w:t>
      </w:r>
      <w:r>
        <w:rPr>
          <w:spacing w:val="-8"/>
          <w:vertAlign w:val="baseline"/>
        </w:rPr>
        <w:t> </w:t>
      </w:r>
      <w:r>
        <w:rPr>
          <w:spacing w:val="-2"/>
          <w:vertAlign w:val="baseline"/>
        </w:rPr>
        <w:t>for</w:t>
      </w:r>
      <w:r>
        <w:rPr>
          <w:spacing w:val="-8"/>
          <w:vertAlign w:val="baseline"/>
        </w:rPr>
        <w:t> </w:t>
      </w:r>
      <w:r>
        <w:rPr>
          <w:spacing w:val="-2"/>
          <w:vertAlign w:val="baseline"/>
        </w:rPr>
        <w:t>our</w:t>
      </w:r>
      <w:r>
        <w:rPr>
          <w:spacing w:val="-8"/>
          <w:vertAlign w:val="baseline"/>
        </w:rPr>
        <w:t> </w:t>
      </w:r>
      <w:r>
        <w:rPr>
          <w:spacing w:val="-2"/>
          <w:vertAlign w:val="baseline"/>
        </w:rPr>
        <w:t>approach.</w:t>
      </w:r>
      <w:r>
        <w:rPr>
          <w:spacing w:val="18"/>
          <w:vertAlign w:val="baseline"/>
        </w:rPr>
        <w:t> </w:t>
      </w:r>
      <w:r>
        <w:rPr>
          <w:spacing w:val="-2"/>
          <w:vertAlign w:val="baseline"/>
        </w:rPr>
        <w:t>Importantly, </w:t>
      </w:r>
      <w:r>
        <w:rPr>
          <w:vertAlign w:val="baseline"/>
        </w:rPr>
        <w:t>this study did not provide an empirical treatment of the mechanism, which was loosely explained as military spending and state capacity.</w:t>
      </w:r>
      <w:r>
        <w:rPr>
          <w:spacing w:val="40"/>
          <w:vertAlign w:val="baseline"/>
        </w:rPr>
        <w:t> </w:t>
      </w:r>
      <w:r>
        <w:rPr>
          <w:vertAlign w:val="baseline"/>
        </w:rPr>
        <w:t>However, the authors argue that “the evidence tips...</w:t>
      </w:r>
      <w:r>
        <w:rPr>
          <w:spacing w:val="40"/>
          <w:vertAlign w:val="baseline"/>
        </w:rPr>
        <w:t> </w:t>
      </w:r>
      <w:r>
        <w:rPr>
          <w:vertAlign w:val="baseline"/>
        </w:rPr>
        <w:t>toward a ‘state</w:t>
      </w:r>
      <w:r>
        <w:rPr>
          <w:spacing w:val="-1"/>
          <w:vertAlign w:val="baseline"/>
        </w:rPr>
        <w:t> </w:t>
      </w:r>
      <w:r>
        <w:rPr>
          <w:vertAlign w:val="baseline"/>
        </w:rPr>
        <w:t>capacity’</w:t>
      </w:r>
      <w:r>
        <w:rPr>
          <w:spacing w:val="-1"/>
          <w:vertAlign w:val="baseline"/>
        </w:rPr>
        <w:t> </w:t>
      </w:r>
      <w:r>
        <w:rPr>
          <w:vertAlign w:val="baseline"/>
        </w:rPr>
        <w:t>effect”.</w:t>
      </w:r>
      <w:r>
        <w:rPr>
          <w:spacing w:val="23"/>
          <w:vertAlign w:val="baseline"/>
        </w:rPr>
        <w:t> </w:t>
      </w:r>
      <w:r>
        <w:rPr>
          <w:vertAlign w:val="baseline"/>
        </w:rPr>
        <w:t>Other</w:t>
      </w:r>
      <w:r>
        <w:rPr>
          <w:spacing w:val="-1"/>
          <w:vertAlign w:val="baseline"/>
        </w:rPr>
        <w:t> </w:t>
      </w:r>
      <w:r>
        <w:rPr>
          <w:vertAlign w:val="baseline"/>
        </w:rPr>
        <w:t>approaches</w:t>
      </w:r>
      <w:r>
        <w:rPr>
          <w:spacing w:val="-1"/>
          <w:vertAlign w:val="baseline"/>
        </w:rPr>
        <w:t> </w:t>
      </w:r>
      <w:r>
        <w:rPr>
          <w:vertAlign w:val="baseline"/>
        </w:rPr>
        <w:t>have</w:t>
      </w:r>
      <w:r>
        <w:rPr>
          <w:spacing w:val="-1"/>
          <w:vertAlign w:val="baseline"/>
        </w:rPr>
        <w:t> </w:t>
      </w:r>
      <w:r>
        <w:rPr>
          <w:vertAlign w:val="baseline"/>
        </w:rPr>
        <w:t>reached</w:t>
      </w:r>
      <w:r>
        <w:rPr>
          <w:spacing w:val="-1"/>
          <w:vertAlign w:val="baseline"/>
        </w:rPr>
        <w:t> </w:t>
      </w:r>
      <w:r>
        <w:rPr>
          <w:vertAlign w:val="baseline"/>
        </w:rPr>
        <w:t>competing</w:t>
      </w:r>
      <w:r>
        <w:rPr>
          <w:spacing w:val="-1"/>
          <w:vertAlign w:val="baseline"/>
        </w:rPr>
        <w:t> </w:t>
      </w:r>
      <w:r>
        <w:rPr>
          <w:vertAlign w:val="baseline"/>
        </w:rPr>
        <w:t>conclusions</w:t>
      </w:r>
      <w:r>
        <w:rPr>
          <w:spacing w:val="-1"/>
          <w:vertAlign w:val="baseline"/>
        </w:rPr>
        <w:t> </w:t>
      </w:r>
      <w:r>
        <w:rPr>
          <w:vertAlign w:val="baseline"/>
        </w:rPr>
        <w:t>such</w:t>
      </w:r>
      <w:r>
        <w:rPr>
          <w:spacing w:val="-1"/>
          <w:vertAlign w:val="baseline"/>
        </w:rPr>
        <w:t> </w:t>
      </w:r>
      <w:r>
        <w:rPr>
          <w:vertAlign w:val="baseline"/>
        </w:rPr>
        <w:t>as</w:t>
      </w:r>
      <w:r>
        <w:rPr>
          <w:spacing w:val="-1"/>
          <w:vertAlign w:val="baseline"/>
        </w:rPr>
        <w:t> </w:t>
      </w:r>
      <w:r>
        <w:rPr>
          <w:vertAlign w:val="baseline"/>
        </w:rPr>
        <w:t>income</w:t>
      </w:r>
      <w:r>
        <w:rPr>
          <w:spacing w:val="-1"/>
          <w:vertAlign w:val="baseline"/>
        </w:rPr>
        <w:t> </w:t>
      </w:r>
      <w:r>
        <w:rPr>
          <w:vertAlign w:val="baseline"/>
        </w:rPr>
        <w:t>shocks, due to rising oil prices in the 1990s, increased violence in Colombia, a notoriously long-lasting civil </w:t>
      </w:r>
      <w:r>
        <w:rPr>
          <w:spacing w:val="-2"/>
          <w:vertAlign w:val="baseline"/>
        </w:rPr>
        <w:t>conflict.</w:t>
      </w:r>
      <w:r>
        <w:rPr>
          <w:rFonts w:ascii="Century Gothic" w:hAnsi="Century Gothic"/>
          <w:spacing w:val="-2"/>
          <w:vertAlign w:val="superscript"/>
        </w:rPr>
        <w:t>20</w:t>
      </w:r>
    </w:p>
    <w:p>
      <w:pPr>
        <w:pStyle w:val="BodyText"/>
        <w:spacing w:line="316" w:lineRule="auto" w:before="153"/>
        <w:ind w:left="117" w:right="633" w:firstLine="298"/>
        <w:jc w:val="both"/>
      </w:pPr>
      <w:r>
        <w:rPr/>
        <w:t>In sum, oil price fluctuations should have important implications for civil conflict.</w:t>
      </w:r>
      <w:r>
        <w:rPr>
          <w:spacing w:val="40"/>
        </w:rPr>
        <w:t> </w:t>
      </w:r>
      <w:r>
        <w:rPr/>
        <w:t>However, the literature</w:t>
      </w:r>
      <w:r>
        <w:rPr>
          <w:spacing w:val="-4"/>
        </w:rPr>
        <w:t> </w:t>
      </w:r>
      <w:r>
        <w:rPr/>
        <w:t>does</w:t>
      </w:r>
      <w:r>
        <w:rPr>
          <w:spacing w:val="-4"/>
        </w:rPr>
        <w:t> </w:t>
      </w:r>
      <w:r>
        <w:rPr/>
        <w:t>not</w:t>
      </w:r>
      <w:r>
        <w:rPr>
          <w:spacing w:val="-4"/>
        </w:rPr>
        <w:t> </w:t>
      </w:r>
      <w:r>
        <w:rPr/>
        <w:t>clearly</w:t>
      </w:r>
      <w:r>
        <w:rPr>
          <w:spacing w:val="-4"/>
        </w:rPr>
        <w:t> </w:t>
      </w:r>
      <w:r>
        <w:rPr/>
        <w:t>link</w:t>
      </w:r>
      <w:r>
        <w:rPr>
          <w:spacing w:val="-4"/>
        </w:rPr>
        <w:t> </w:t>
      </w:r>
      <w:r>
        <w:rPr/>
        <w:t>oil</w:t>
      </w:r>
      <w:r>
        <w:rPr>
          <w:spacing w:val="-4"/>
        </w:rPr>
        <w:t> </w:t>
      </w:r>
      <w:r>
        <w:rPr/>
        <w:t>price</w:t>
      </w:r>
      <w:r>
        <w:rPr>
          <w:spacing w:val="-4"/>
        </w:rPr>
        <w:t> </w:t>
      </w:r>
      <w:r>
        <w:rPr/>
        <w:t>fluctuations</w:t>
      </w:r>
      <w:r>
        <w:rPr>
          <w:spacing w:val="-4"/>
        </w:rPr>
        <w:t> </w:t>
      </w:r>
      <w:r>
        <w:rPr/>
        <w:t>with</w:t>
      </w:r>
      <w:r>
        <w:rPr>
          <w:spacing w:val="-4"/>
        </w:rPr>
        <w:t> </w:t>
      </w:r>
      <w:r>
        <w:rPr/>
        <w:t>civil</w:t>
      </w:r>
      <w:r>
        <w:rPr>
          <w:spacing w:val="-4"/>
        </w:rPr>
        <w:t> </w:t>
      </w:r>
      <w:r>
        <w:rPr/>
        <w:t>conflict</w:t>
      </w:r>
      <w:r>
        <w:rPr>
          <w:spacing w:val="-4"/>
        </w:rPr>
        <w:t> </w:t>
      </w:r>
      <w:r>
        <w:rPr/>
        <w:t>in</w:t>
      </w:r>
      <w:r>
        <w:rPr>
          <w:spacing w:val="-4"/>
        </w:rPr>
        <w:t> </w:t>
      </w:r>
      <w:r>
        <w:rPr/>
        <w:t>the</w:t>
      </w:r>
      <w:r>
        <w:rPr>
          <w:spacing w:val="-4"/>
        </w:rPr>
        <w:t> </w:t>
      </w:r>
      <w:r>
        <w:rPr/>
        <w:t>way</w:t>
      </w:r>
      <w:r>
        <w:rPr>
          <w:spacing w:val="-4"/>
        </w:rPr>
        <w:t> </w:t>
      </w:r>
      <w:r>
        <w:rPr/>
        <w:t>that</w:t>
      </w:r>
      <w:r>
        <w:rPr>
          <w:spacing w:val="-4"/>
        </w:rPr>
        <w:t> </w:t>
      </w:r>
      <w:r>
        <w:rPr/>
        <w:t>we</w:t>
      </w:r>
      <w:r>
        <w:rPr>
          <w:spacing w:val="-4"/>
        </w:rPr>
        <w:t> </w:t>
      </w:r>
      <w:r>
        <w:rPr/>
        <w:t>propose</w:t>
      </w:r>
      <w:r>
        <w:rPr>
          <w:spacing w:val="-4"/>
        </w:rPr>
        <w:t> </w:t>
      </w:r>
      <w:r>
        <w:rPr/>
        <w:t>to</w:t>
      </w:r>
      <w:r>
        <w:rPr>
          <w:spacing w:val="-4"/>
        </w:rPr>
        <w:t> </w:t>
      </w:r>
      <w:r>
        <w:rPr/>
        <w:t>do, which</w:t>
      </w:r>
      <w:r>
        <w:rPr>
          <w:spacing w:val="-11"/>
        </w:rPr>
        <w:t> </w:t>
      </w:r>
      <w:r>
        <w:rPr/>
        <w:t>is</w:t>
      </w:r>
      <w:r>
        <w:rPr>
          <w:spacing w:val="-11"/>
        </w:rPr>
        <w:t> </w:t>
      </w:r>
      <w:r>
        <w:rPr/>
        <w:t>through</w:t>
      </w:r>
      <w:r>
        <w:rPr>
          <w:spacing w:val="-11"/>
        </w:rPr>
        <w:t> </w:t>
      </w:r>
      <w:r>
        <w:rPr/>
        <w:t>the</w:t>
      </w:r>
      <w:r>
        <w:rPr>
          <w:spacing w:val="-11"/>
        </w:rPr>
        <w:t> </w:t>
      </w:r>
      <w:r>
        <w:rPr/>
        <w:t>transmission</w:t>
      </w:r>
      <w:r>
        <w:rPr>
          <w:spacing w:val="-11"/>
        </w:rPr>
        <w:t> </w:t>
      </w:r>
      <w:r>
        <w:rPr/>
        <w:t>mechanism</w:t>
      </w:r>
      <w:r>
        <w:rPr>
          <w:spacing w:val="-11"/>
        </w:rPr>
        <w:t> </w:t>
      </w:r>
      <w:r>
        <w:rPr/>
        <w:t>of</w:t>
      </w:r>
      <w:r>
        <w:rPr>
          <w:spacing w:val="-11"/>
        </w:rPr>
        <w:t> </w:t>
      </w:r>
      <w:r>
        <w:rPr/>
        <w:t>state</w:t>
      </w:r>
      <w:r>
        <w:rPr>
          <w:spacing w:val="-11"/>
        </w:rPr>
        <w:t> </w:t>
      </w:r>
      <w:r>
        <w:rPr/>
        <w:t>military</w:t>
      </w:r>
      <w:r>
        <w:rPr>
          <w:spacing w:val="-11"/>
        </w:rPr>
        <w:t> </w:t>
      </w:r>
      <w:r>
        <w:rPr/>
        <w:t>capacity</w:t>
      </w:r>
      <w:r>
        <w:rPr>
          <w:spacing w:val="-11"/>
        </w:rPr>
        <w:t> </w:t>
      </w:r>
      <w:r>
        <w:rPr/>
        <w:t>(although</w:t>
      </w:r>
      <w:r>
        <w:rPr>
          <w:spacing w:val="-11"/>
        </w:rPr>
        <w:t> </w:t>
      </w:r>
      <w:r>
        <w:rPr/>
        <w:t>some</w:t>
      </w:r>
      <w:r>
        <w:rPr>
          <w:spacing w:val="-11"/>
        </w:rPr>
        <w:t> </w:t>
      </w:r>
      <w:r>
        <w:rPr/>
        <w:t>studies</w:t>
      </w:r>
      <w:r>
        <w:rPr>
          <w:spacing w:val="-11"/>
        </w:rPr>
        <w:t> </w:t>
      </w:r>
      <w:r>
        <w:rPr/>
        <w:t>suggest this).</w:t>
      </w:r>
      <w:r>
        <w:rPr>
          <w:spacing w:val="40"/>
        </w:rPr>
        <w:t> </w:t>
      </w:r>
      <w:r>
        <w:rPr/>
        <w:t>When oil prices are high and the state is able to both produce and generate revenues from oil, then</w:t>
      </w:r>
      <w:r>
        <w:rPr>
          <w:spacing w:val="-13"/>
        </w:rPr>
        <w:t> </w:t>
      </w:r>
      <w:r>
        <w:rPr/>
        <w:t>conflicts</w:t>
      </w:r>
      <w:r>
        <w:rPr>
          <w:spacing w:val="-12"/>
        </w:rPr>
        <w:t> </w:t>
      </w:r>
      <w:r>
        <w:rPr/>
        <w:t>will</w:t>
      </w:r>
      <w:r>
        <w:rPr>
          <w:spacing w:val="-12"/>
        </w:rPr>
        <w:t> </w:t>
      </w:r>
      <w:r>
        <w:rPr/>
        <w:t>subside</w:t>
      </w:r>
      <w:r>
        <w:rPr>
          <w:spacing w:val="-12"/>
        </w:rPr>
        <w:t> </w:t>
      </w:r>
      <w:r>
        <w:rPr/>
        <w:t>as</w:t>
      </w:r>
      <w:r>
        <w:rPr>
          <w:spacing w:val="-12"/>
        </w:rPr>
        <w:t> </w:t>
      </w:r>
      <w:r>
        <w:rPr/>
        <w:t>the</w:t>
      </w:r>
      <w:r>
        <w:rPr>
          <w:spacing w:val="-12"/>
        </w:rPr>
        <w:t> </w:t>
      </w:r>
      <w:r>
        <w:rPr/>
        <w:t>state</w:t>
      </w:r>
      <w:r>
        <w:rPr>
          <w:spacing w:val="-12"/>
        </w:rPr>
        <w:t> </w:t>
      </w:r>
      <w:r>
        <w:rPr/>
        <w:t>is</w:t>
      </w:r>
      <w:r>
        <w:rPr>
          <w:spacing w:val="-12"/>
        </w:rPr>
        <w:t> </w:t>
      </w:r>
      <w:r>
        <w:rPr/>
        <w:t>better</w:t>
      </w:r>
      <w:r>
        <w:rPr>
          <w:spacing w:val="-12"/>
        </w:rPr>
        <w:t> </w:t>
      </w:r>
      <w:r>
        <w:rPr/>
        <w:t>able</w:t>
      </w:r>
      <w:r>
        <w:rPr>
          <w:spacing w:val="-12"/>
        </w:rPr>
        <w:t> </w:t>
      </w:r>
      <w:r>
        <w:rPr/>
        <w:t>to</w:t>
      </w:r>
      <w:r>
        <w:rPr>
          <w:spacing w:val="-12"/>
        </w:rPr>
        <w:t> </w:t>
      </w:r>
      <w:r>
        <w:rPr/>
        <w:t>fund</w:t>
      </w:r>
      <w:r>
        <w:rPr>
          <w:spacing w:val="-12"/>
        </w:rPr>
        <w:t> </w:t>
      </w:r>
      <w:r>
        <w:rPr/>
        <w:t>counter-insurgency</w:t>
      </w:r>
      <w:r>
        <w:rPr>
          <w:spacing w:val="-12"/>
        </w:rPr>
        <w:t> </w:t>
      </w:r>
      <w:r>
        <w:rPr/>
        <w:t>measures</w:t>
      </w:r>
      <w:r>
        <w:rPr>
          <w:spacing w:val="-12"/>
        </w:rPr>
        <w:t> </w:t>
      </w:r>
      <w:r>
        <w:rPr/>
        <w:t>against</w:t>
      </w:r>
      <w:r>
        <w:rPr>
          <w:spacing w:val="-12"/>
        </w:rPr>
        <w:t> </w:t>
      </w:r>
      <w:r>
        <w:rPr/>
        <w:t>rebels. The</w:t>
      </w:r>
      <w:r>
        <w:rPr>
          <w:spacing w:val="-3"/>
        </w:rPr>
        <w:t> </w:t>
      </w:r>
      <w:r>
        <w:rPr/>
        <w:t>next</w:t>
      </w:r>
      <w:r>
        <w:rPr>
          <w:spacing w:val="-2"/>
        </w:rPr>
        <w:t> </w:t>
      </w:r>
      <w:r>
        <w:rPr/>
        <w:t>two</w:t>
      </w:r>
      <w:r>
        <w:rPr>
          <w:spacing w:val="-3"/>
        </w:rPr>
        <w:t> </w:t>
      </w:r>
      <w:r>
        <w:rPr/>
        <w:t>subsections</w:t>
      </w:r>
      <w:r>
        <w:rPr>
          <w:spacing w:val="-3"/>
        </w:rPr>
        <w:t> </w:t>
      </w:r>
      <w:r>
        <w:rPr/>
        <w:t>briefly</w:t>
      </w:r>
      <w:r>
        <w:rPr>
          <w:spacing w:val="-2"/>
        </w:rPr>
        <w:t> </w:t>
      </w:r>
      <w:r>
        <w:rPr/>
        <w:t>discuss</w:t>
      </w:r>
      <w:r>
        <w:rPr>
          <w:spacing w:val="-2"/>
        </w:rPr>
        <w:t> </w:t>
      </w:r>
      <w:r>
        <w:rPr/>
        <w:t>the</w:t>
      </w:r>
      <w:r>
        <w:rPr>
          <w:spacing w:val="-2"/>
        </w:rPr>
        <w:t> </w:t>
      </w:r>
      <w:r>
        <w:rPr/>
        <w:t>literature</w:t>
      </w:r>
      <w:r>
        <w:rPr>
          <w:spacing w:val="-2"/>
        </w:rPr>
        <w:t> </w:t>
      </w:r>
      <w:r>
        <w:rPr/>
        <w:t>around</w:t>
      </w:r>
      <w:r>
        <w:rPr>
          <w:spacing w:val="-3"/>
        </w:rPr>
        <w:t> </w:t>
      </w:r>
      <w:r>
        <w:rPr/>
        <w:t>both</w:t>
      </w:r>
      <w:r>
        <w:rPr>
          <w:spacing w:val="-2"/>
        </w:rPr>
        <w:t> </w:t>
      </w:r>
      <w:r>
        <w:rPr/>
        <w:t>sides</w:t>
      </w:r>
      <w:r>
        <w:rPr>
          <w:spacing w:val="-3"/>
        </w:rPr>
        <w:t> </w:t>
      </w:r>
      <w:r>
        <w:rPr/>
        <w:t>of</w:t>
      </w:r>
      <w:r>
        <w:rPr>
          <w:spacing w:val="-3"/>
        </w:rPr>
        <w:t> </w:t>
      </w:r>
      <w:r>
        <w:rPr/>
        <w:t>this</w:t>
      </w:r>
      <w:r>
        <w:rPr>
          <w:spacing w:val="-2"/>
        </w:rPr>
        <w:t> </w:t>
      </w:r>
      <w:r>
        <w:rPr/>
        <w:t>mechanism</w:t>
      </w:r>
      <w:r>
        <w:rPr>
          <w:spacing w:val="-2"/>
        </w:rPr>
        <w:t> </w:t>
      </w:r>
      <w:r>
        <w:rPr/>
        <w:t>to</w:t>
      </w:r>
      <w:r>
        <w:rPr>
          <w:spacing w:val="-2"/>
        </w:rPr>
        <w:t> </w:t>
      </w:r>
      <w:r>
        <w:rPr/>
        <w:t>provide a basis for our theoretical intuitions.</w:t>
      </w:r>
    </w:p>
    <w:p>
      <w:pPr>
        <w:pStyle w:val="BodyText"/>
        <w:rPr>
          <w:sz w:val="25"/>
        </w:rPr>
      </w:pPr>
    </w:p>
    <w:p>
      <w:pPr>
        <w:pStyle w:val="Heading2"/>
        <w:numPr>
          <w:ilvl w:val="1"/>
          <w:numId w:val="1"/>
        </w:numPr>
        <w:tabs>
          <w:tab w:pos="729" w:val="left" w:leader="none"/>
          <w:tab w:pos="731" w:val="left" w:leader="none"/>
        </w:tabs>
        <w:spacing w:line="240" w:lineRule="auto" w:before="0" w:after="0"/>
        <w:ind w:left="730" w:right="0" w:hanging="614"/>
        <w:jc w:val="left"/>
      </w:pPr>
      <w:r>
        <w:rPr>
          <w:spacing w:val="-4"/>
        </w:rPr>
        <w:t>State</w:t>
      </w:r>
      <w:r>
        <w:rPr>
          <w:spacing w:val="5"/>
        </w:rPr>
        <w:t> </w:t>
      </w:r>
      <w:r>
        <w:rPr>
          <w:spacing w:val="-4"/>
        </w:rPr>
        <w:t>Capacity,</w:t>
      </w:r>
      <w:r>
        <w:rPr>
          <w:spacing w:val="6"/>
        </w:rPr>
        <w:t> </w:t>
      </w:r>
      <w:r>
        <w:rPr>
          <w:spacing w:val="-4"/>
        </w:rPr>
        <w:t>Military</w:t>
      </w:r>
      <w:r>
        <w:rPr>
          <w:spacing w:val="6"/>
        </w:rPr>
        <w:t> </w:t>
      </w:r>
      <w:r>
        <w:rPr>
          <w:spacing w:val="-4"/>
        </w:rPr>
        <w:t>Expenditures,</w:t>
      </w:r>
      <w:r>
        <w:rPr>
          <w:spacing w:val="5"/>
        </w:rPr>
        <w:t> </w:t>
      </w:r>
      <w:r>
        <w:rPr>
          <w:spacing w:val="-4"/>
        </w:rPr>
        <w:t>and</w:t>
      </w:r>
      <w:r>
        <w:rPr>
          <w:spacing w:val="6"/>
        </w:rPr>
        <w:t> </w:t>
      </w:r>
      <w:r>
        <w:rPr>
          <w:spacing w:val="-4"/>
        </w:rPr>
        <w:t>Conflict</w:t>
      </w:r>
    </w:p>
    <w:p>
      <w:pPr>
        <w:pStyle w:val="BodyText"/>
        <w:spacing w:line="300" w:lineRule="auto" w:before="191"/>
        <w:ind w:left="117" w:right="633" w:firstLine="298"/>
        <w:jc w:val="both"/>
        <w:rPr>
          <w:rFonts w:ascii="Bookman Old Style"/>
          <w:b w:val="0"/>
          <w:i/>
        </w:rPr>
      </w:pPr>
      <w:r>
        <w:rPr/>
        <w:pict>
          <v:shape style="position:absolute;margin-left:70.865997pt;margin-top:101.553925pt;width:179.75pt;height:.1pt;mso-position-horizontal-relative:page;mso-position-vertical-relative:paragraph;z-index:-15727104;mso-wrap-distance-left:0;mso-wrap-distance-right:0" id="docshape5" coordorigin="1417,2031" coordsize="3595,0" path="m1417,2031l5012,2031e" filled="false" stroked="true" strokeweight=".398pt" strokecolor="#000000">
            <v:path arrowok="t"/>
            <v:stroke dashstyle="solid"/>
            <w10:wrap type="topAndBottom"/>
          </v:shape>
        </w:pict>
      </w:r>
      <w:r>
        <w:rPr/>
        <w:t>The</w:t>
      </w:r>
      <w:r>
        <w:rPr>
          <w:spacing w:val="-11"/>
        </w:rPr>
        <w:t> </w:t>
      </w:r>
      <w:r>
        <w:rPr/>
        <w:t>ability</w:t>
      </w:r>
      <w:r>
        <w:rPr>
          <w:spacing w:val="-12"/>
        </w:rPr>
        <w:t> </w:t>
      </w:r>
      <w:r>
        <w:rPr/>
        <w:t>for</w:t>
      </w:r>
      <w:r>
        <w:rPr>
          <w:spacing w:val="-11"/>
        </w:rPr>
        <w:t> </w:t>
      </w:r>
      <w:r>
        <w:rPr/>
        <w:t>the</w:t>
      </w:r>
      <w:r>
        <w:rPr>
          <w:spacing w:val="-12"/>
        </w:rPr>
        <w:t> </w:t>
      </w:r>
      <w:r>
        <w:rPr/>
        <w:t>state</w:t>
      </w:r>
      <w:r>
        <w:rPr>
          <w:spacing w:val="-11"/>
        </w:rPr>
        <w:t> </w:t>
      </w:r>
      <w:r>
        <w:rPr/>
        <w:t>to</w:t>
      </w:r>
      <w:r>
        <w:rPr>
          <w:spacing w:val="-11"/>
        </w:rPr>
        <w:t> </w:t>
      </w:r>
      <w:r>
        <w:rPr/>
        <w:t>project</w:t>
      </w:r>
      <w:r>
        <w:rPr>
          <w:spacing w:val="-11"/>
        </w:rPr>
        <w:t> </w:t>
      </w:r>
      <w:r>
        <w:rPr/>
        <w:t>power</w:t>
      </w:r>
      <w:r>
        <w:rPr>
          <w:spacing w:val="-11"/>
        </w:rPr>
        <w:t> </w:t>
      </w:r>
      <w:r>
        <w:rPr/>
        <w:t>and</w:t>
      </w:r>
      <w:r>
        <w:rPr>
          <w:spacing w:val="-12"/>
        </w:rPr>
        <w:t> </w:t>
      </w:r>
      <w:r>
        <w:rPr/>
        <w:t>engage</w:t>
      </w:r>
      <w:r>
        <w:rPr>
          <w:spacing w:val="-11"/>
        </w:rPr>
        <w:t> </w:t>
      </w:r>
      <w:r>
        <w:rPr/>
        <w:t>with</w:t>
      </w:r>
      <w:r>
        <w:rPr>
          <w:spacing w:val="-12"/>
        </w:rPr>
        <w:t> </w:t>
      </w:r>
      <w:r>
        <w:rPr/>
        <w:t>belligerents</w:t>
      </w:r>
      <w:r>
        <w:rPr>
          <w:spacing w:val="-11"/>
        </w:rPr>
        <w:t> </w:t>
      </w:r>
      <w:r>
        <w:rPr/>
        <w:t>is</w:t>
      </w:r>
      <w:r>
        <w:rPr>
          <w:spacing w:val="-11"/>
        </w:rPr>
        <w:t> </w:t>
      </w:r>
      <w:r>
        <w:rPr/>
        <w:t>a</w:t>
      </w:r>
      <w:r>
        <w:rPr>
          <w:spacing w:val="-12"/>
        </w:rPr>
        <w:t> </w:t>
      </w:r>
      <w:r>
        <w:rPr/>
        <w:t>long-standing</w:t>
      </w:r>
      <w:r>
        <w:rPr>
          <w:spacing w:val="-11"/>
        </w:rPr>
        <w:t> </w:t>
      </w:r>
      <w:r>
        <w:rPr/>
        <w:t>explanatory factor for conflict.</w:t>
      </w:r>
      <w:r>
        <w:rPr>
          <w:spacing w:val="40"/>
        </w:rPr>
        <w:t> </w:t>
      </w:r>
      <w:r>
        <w:rPr/>
        <w:t>States must be able to reach and control far and difficult to reach corners of its territory.</w:t>
      </w:r>
      <w:r>
        <w:rPr>
          <w:rFonts w:ascii="Century Gothic"/>
          <w:vertAlign w:val="superscript"/>
        </w:rPr>
        <w:t>21</w:t>
      </w:r>
      <w:r>
        <w:rPr>
          <w:rFonts w:ascii="Century Gothic"/>
          <w:vertAlign w:val="baseline"/>
        </w:rPr>
        <w:t> </w:t>
      </w:r>
      <w:r>
        <w:rPr>
          <w:vertAlign w:val="baseline"/>
        </w:rPr>
        <w:t>Large</w:t>
      </w:r>
      <w:r>
        <w:rPr>
          <w:spacing w:val="-1"/>
          <w:vertAlign w:val="baseline"/>
        </w:rPr>
        <w:t> </w:t>
      </w:r>
      <w:r>
        <w:rPr>
          <w:vertAlign w:val="baseline"/>
        </w:rPr>
        <w:t>militaries</w:t>
      </w:r>
      <w:r>
        <w:rPr>
          <w:spacing w:val="-1"/>
          <w:vertAlign w:val="baseline"/>
        </w:rPr>
        <w:t> </w:t>
      </w:r>
      <w:r>
        <w:rPr>
          <w:vertAlign w:val="baseline"/>
        </w:rPr>
        <w:t>can</w:t>
      </w:r>
      <w:r>
        <w:rPr>
          <w:spacing w:val="-1"/>
          <w:vertAlign w:val="baseline"/>
        </w:rPr>
        <w:t> </w:t>
      </w:r>
      <w:r>
        <w:rPr>
          <w:vertAlign w:val="baseline"/>
        </w:rPr>
        <w:t>help</w:t>
      </w:r>
      <w:r>
        <w:rPr>
          <w:spacing w:val="-1"/>
          <w:vertAlign w:val="baseline"/>
        </w:rPr>
        <w:t> </w:t>
      </w:r>
      <w:r>
        <w:rPr>
          <w:vertAlign w:val="baseline"/>
        </w:rPr>
        <w:t>with</w:t>
      </w:r>
      <w:r>
        <w:rPr>
          <w:spacing w:val="-1"/>
          <w:vertAlign w:val="baseline"/>
        </w:rPr>
        <w:t> </w:t>
      </w:r>
      <w:r>
        <w:rPr>
          <w:vertAlign w:val="baseline"/>
        </w:rPr>
        <w:t>favorable</w:t>
      </w:r>
      <w:r>
        <w:rPr>
          <w:spacing w:val="-1"/>
          <w:vertAlign w:val="baseline"/>
        </w:rPr>
        <w:t> </w:t>
      </w:r>
      <w:r>
        <w:rPr>
          <w:vertAlign w:val="baseline"/>
        </w:rPr>
        <w:t>outcomes</w:t>
      </w:r>
      <w:r>
        <w:rPr>
          <w:spacing w:val="-1"/>
          <w:vertAlign w:val="baseline"/>
        </w:rPr>
        <w:t> </w:t>
      </w:r>
      <w:r>
        <w:rPr>
          <w:vertAlign w:val="baseline"/>
        </w:rPr>
        <w:t>for</w:t>
      </w:r>
      <w:r>
        <w:rPr>
          <w:spacing w:val="-1"/>
          <w:vertAlign w:val="baseline"/>
        </w:rPr>
        <w:t> </w:t>
      </w:r>
      <w:r>
        <w:rPr>
          <w:vertAlign w:val="baseline"/>
        </w:rPr>
        <w:t>the</w:t>
      </w:r>
      <w:r>
        <w:rPr>
          <w:spacing w:val="-1"/>
          <w:vertAlign w:val="baseline"/>
        </w:rPr>
        <w:t> </w:t>
      </w:r>
      <w:r>
        <w:rPr>
          <w:vertAlign w:val="baseline"/>
        </w:rPr>
        <w:t>government</w:t>
      </w:r>
      <w:r>
        <w:rPr>
          <w:spacing w:val="-1"/>
          <w:vertAlign w:val="baseline"/>
        </w:rPr>
        <w:t> </w:t>
      </w:r>
      <w:r>
        <w:rPr>
          <w:vertAlign w:val="baseline"/>
        </w:rPr>
        <w:t>(assuming</w:t>
      </w:r>
      <w:r>
        <w:rPr>
          <w:spacing w:val="-1"/>
          <w:vertAlign w:val="baseline"/>
        </w:rPr>
        <w:t> </w:t>
      </w:r>
      <w:r>
        <w:rPr>
          <w:vertAlign w:val="baseline"/>
        </w:rPr>
        <w:t>that</w:t>
      </w:r>
      <w:r>
        <w:rPr>
          <w:spacing w:val="-1"/>
          <w:vertAlign w:val="baseline"/>
        </w:rPr>
        <w:t> </w:t>
      </w:r>
      <w:r>
        <w:rPr>
          <w:vertAlign w:val="baseline"/>
        </w:rPr>
        <w:t>they can win quickly) and have been linked to primary commodity exports.</w:t>
      </w:r>
      <w:r>
        <w:rPr>
          <w:rFonts w:ascii="Century Gothic"/>
          <w:vertAlign w:val="superscript"/>
        </w:rPr>
        <w:t>22</w:t>
      </w:r>
      <w:r>
        <w:rPr>
          <w:rFonts w:ascii="Century Gothic"/>
          <w:spacing w:val="37"/>
          <w:vertAlign w:val="baseline"/>
        </w:rPr>
        <w:t> </w:t>
      </w:r>
      <w:r>
        <w:rPr>
          <w:vertAlign w:val="baseline"/>
        </w:rPr>
        <w:t>Recent work has also linked military</w:t>
      </w:r>
      <w:r>
        <w:rPr>
          <w:spacing w:val="-2"/>
          <w:vertAlign w:val="baseline"/>
        </w:rPr>
        <w:t> </w:t>
      </w:r>
      <w:r>
        <w:rPr>
          <w:vertAlign w:val="baseline"/>
        </w:rPr>
        <w:t>capacity</w:t>
      </w:r>
      <w:r>
        <w:rPr>
          <w:spacing w:val="-2"/>
          <w:vertAlign w:val="baseline"/>
        </w:rPr>
        <w:t> </w:t>
      </w:r>
      <w:r>
        <w:rPr>
          <w:vertAlign w:val="baseline"/>
        </w:rPr>
        <w:t>to</w:t>
      </w:r>
      <w:r>
        <w:rPr>
          <w:spacing w:val="-2"/>
          <w:vertAlign w:val="baseline"/>
        </w:rPr>
        <w:t> </w:t>
      </w:r>
      <w:r>
        <w:rPr>
          <w:vertAlign w:val="baseline"/>
        </w:rPr>
        <w:t>the</w:t>
      </w:r>
      <w:r>
        <w:rPr>
          <w:spacing w:val="-2"/>
          <w:vertAlign w:val="baseline"/>
        </w:rPr>
        <w:t> </w:t>
      </w:r>
      <w:r>
        <w:rPr>
          <w:vertAlign w:val="baseline"/>
        </w:rPr>
        <w:t>prevention</w:t>
      </w:r>
      <w:r>
        <w:rPr>
          <w:spacing w:val="-2"/>
          <w:vertAlign w:val="baseline"/>
        </w:rPr>
        <w:t> </w:t>
      </w:r>
      <w:r>
        <w:rPr>
          <w:vertAlign w:val="baseline"/>
        </w:rPr>
        <w:t>of</w:t>
      </w:r>
      <w:r>
        <w:rPr>
          <w:spacing w:val="-2"/>
          <w:vertAlign w:val="baseline"/>
        </w:rPr>
        <w:t> </w:t>
      </w:r>
      <w:r>
        <w:rPr>
          <w:vertAlign w:val="baseline"/>
        </w:rPr>
        <w:t>civil</w:t>
      </w:r>
      <w:r>
        <w:rPr>
          <w:spacing w:val="-2"/>
          <w:vertAlign w:val="baseline"/>
        </w:rPr>
        <w:t> </w:t>
      </w:r>
      <w:r>
        <w:rPr>
          <w:vertAlign w:val="baseline"/>
        </w:rPr>
        <w:t>conflict</w:t>
      </w:r>
      <w:r>
        <w:rPr>
          <w:spacing w:val="-2"/>
          <w:vertAlign w:val="baseline"/>
        </w:rPr>
        <w:t> </w:t>
      </w:r>
      <w:r>
        <w:rPr>
          <w:vertAlign w:val="baseline"/>
        </w:rPr>
        <w:t>onset.</w:t>
      </w:r>
      <w:r>
        <w:rPr>
          <w:rFonts w:ascii="Century Gothic"/>
          <w:vertAlign w:val="superscript"/>
        </w:rPr>
        <w:t>23</w:t>
      </w:r>
      <w:r>
        <w:rPr>
          <w:rFonts w:ascii="Century Gothic"/>
          <w:vertAlign w:val="baseline"/>
        </w:rPr>
        <w:t> </w:t>
      </w:r>
      <w:r>
        <w:rPr>
          <w:vertAlign w:val="baseline"/>
        </w:rPr>
        <w:t>Others</w:t>
      </w:r>
      <w:r>
        <w:rPr>
          <w:spacing w:val="-2"/>
          <w:vertAlign w:val="baseline"/>
        </w:rPr>
        <w:t> </w:t>
      </w:r>
      <w:r>
        <w:rPr>
          <w:vertAlign w:val="baseline"/>
        </w:rPr>
        <w:t>have</w:t>
      </w:r>
      <w:r>
        <w:rPr>
          <w:spacing w:val="-2"/>
          <w:vertAlign w:val="baseline"/>
        </w:rPr>
        <w:t> </w:t>
      </w:r>
      <w:r>
        <w:rPr>
          <w:vertAlign w:val="baseline"/>
        </w:rPr>
        <w:t>reached</w:t>
      </w:r>
      <w:r>
        <w:rPr>
          <w:spacing w:val="-2"/>
          <w:vertAlign w:val="baseline"/>
        </w:rPr>
        <w:t> </w:t>
      </w:r>
      <w:r>
        <w:rPr>
          <w:vertAlign w:val="baseline"/>
        </w:rPr>
        <w:t>similar</w:t>
      </w:r>
      <w:r>
        <w:rPr>
          <w:spacing w:val="-2"/>
          <w:vertAlign w:val="baseline"/>
        </w:rPr>
        <w:t> </w:t>
      </w:r>
      <w:r>
        <w:rPr>
          <w:vertAlign w:val="baseline"/>
        </w:rPr>
        <w:t>findings</w:t>
      </w:r>
      <w:r>
        <w:rPr>
          <w:spacing w:val="-2"/>
          <w:vertAlign w:val="baseline"/>
        </w:rPr>
        <w:t> </w:t>
      </w:r>
      <w:r>
        <w:rPr>
          <w:vertAlign w:val="baseline"/>
        </w:rPr>
        <w:t>about the</w:t>
      </w:r>
      <w:r>
        <w:rPr>
          <w:spacing w:val="17"/>
          <w:vertAlign w:val="baseline"/>
        </w:rPr>
        <w:t> </w:t>
      </w:r>
      <w:r>
        <w:rPr>
          <w:vertAlign w:val="baseline"/>
        </w:rPr>
        <w:t>effect</w:t>
      </w:r>
      <w:r>
        <w:rPr>
          <w:spacing w:val="17"/>
          <w:vertAlign w:val="baseline"/>
        </w:rPr>
        <w:t> </w:t>
      </w:r>
      <w:r>
        <w:rPr>
          <w:vertAlign w:val="baseline"/>
        </w:rPr>
        <w:t>of</w:t>
      </w:r>
      <w:r>
        <w:rPr>
          <w:spacing w:val="18"/>
          <w:vertAlign w:val="baseline"/>
        </w:rPr>
        <w:t> </w:t>
      </w:r>
      <w:r>
        <w:rPr>
          <w:vertAlign w:val="baseline"/>
        </w:rPr>
        <w:t>military</w:t>
      </w:r>
      <w:r>
        <w:rPr>
          <w:spacing w:val="17"/>
          <w:vertAlign w:val="baseline"/>
        </w:rPr>
        <w:t> </w:t>
      </w:r>
      <w:r>
        <w:rPr>
          <w:vertAlign w:val="baseline"/>
        </w:rPr>
        <w:t>capacity</w:t>
      </w:r>
      <w:r>
        <w:rPr>
          <w:spacing w:val="18"/>
          <w:vertAlign w:val="baseline"/>
        </w:rPr>
        <w:t> </w:t>
      </w:r>
      <w:r>
        <w:rPr>
          <w:vertAlign w:val="baseline"/>
        </w:rPr>
        <w:t>on</w:t>
      </w:r>
      <w:r>
        <w:rPr>
          <w:spacing w:val="17"/>
          <w:vertAlign w:val="baseline"/>
        </w:rPr>
        <w:t> </w:t>
      </w:r>
      <w:r>
        <w:rPr>
          <w:vertAlign w:val="baseline"/>
        </w:rPr>
        <w:t>conflict</w:t>
      </w:r>
      <w:r>
        <w:rPr>
          <w:spacing w:val="18"/>
          <w:vertAlign w:val="baseline"/>
        </w:rPr>
        <w:t> </w:t>
      </w:r>
      <w:r>
        <w:rPr>
          <w:vertAlign w:val="baseline"/>
        </w:rPr>
        <w:t>duration</w:t>
      </w:r>
      <w:r>
        <w:rPr>
          <w:spacing w:val="17"/>
          <w:vertAlign w:val="baseline"/>
        </w:rPr>
        <w:t> </w:t>
      </w:r>
      <w:r>
        <w:rPr>
          <w:vertAlign w:val="baseline"/>
        </w:rPr>
        <w:t>and</w:t>
      </w:r>
      <w:r>
        <w:rPr>
          <w:spacing w:val="18"/>
          <w:vertAlign w:val="baseline"/>
        </w:rPr>
        <w:t> </w:t>
      </w:r>
      <w:r>
        <w:rPr>
          <w:vertAlign w:val="baseline"/>
        </w:rPr>
        <w:t>intensity</w:t>
      </w:r>
      <w:r>
        <w:rPr>
          <w:spacing w:val="17"/>
          <w:vertAlign w:val="baseline"/>
        </w:rPr>
        <w:t> </w:t>
      </w:r>
      <w:r>
        <w:rPr>
          <w:vertAlign w:val="baseline"/>
        </w:rPr>
        <w:t>by</w:t>
      </w:r>
      <w:r>
        <w:rPr>
          <w:spacing w:val="18"/>
          <w:vertAlign w:val="baseline"/>
        </w:rPr>
        <w:t> </w:t>
      </w:r>
      <w:r>
        <w:rPr>
          <w:vertAlign w:val="baseline"/>
        </w:rPr>
        <w:t>examining</w:t>
      </w:r>
      <w:r>
        <w:rPr>
          <w:spacing w:val="18"/>
          <w:vertAlign w:val="baseline"/>
        </w:rPr>
        <w:t> </w:t>
      </w:r>
      <w:r>
        <w:rPr>
          <w:rFonts w:ascii="Bookman Old Style"/>
          <w:b w:val="0"/>
          <w:i/>
          <w:vertAlign w:val="baseline"/>
        </w:rPr>
        <w:t>military</w:t>
      </w:r>
      <w:r>
        <w:rPr>
          <w:rFonts w:ascii="Bookman Old Style"/>
          <w:b w:val="0"/>
          <w:i/>
          <w:spacing w:val="8"/>
          <w:vertAlign w:val="baseline"/>
        </w:rPr>
        <w:t> </w:t>
      </w:r>
      <w:r>
        <w:rPr>
          <w:rFonts w:ascii="Bookman Old Style"/>
          <w:b w:val="0"/>
          <w:i/>
          <w:spacing w:val="-2"/>
          <w:w w:val="90"/>
          <w:vertAlign w:val="baseline"/>
        </w:rPr>
        <w:t>expenditures</w:t>
      </w:r>
    </w:p>
    <w:p>
      <w:pPr>
        <w:spacing w:line="242" w:lineRule="auto" w:before="34"/>
        <w:ind w:left="266" w:right="6273" w:firstLine="0"/>
        <w:jc w:val="left"/>
        <w:rPr>
          <w:rFonts w:ascii="Bookman Old Style" w:hAnsi="Bookman Old Style"/>
          <w:b w:val="0"/>
          <w:sz w:val="16"/>
        </w:rPr>
      </w:pPr>
      <w:r>
        <w:rPr>
          <w:rFonts w:ascii="Bookman Old Style" w:hAnsi="Bookman Old Style"/>
          <w:b w:val="0"/>
          <w:sz w:val="16"/>
          <w:vertAlign w:val="superscript"/>
        </w:rPr>
        <w:t>16</w:t>
      </w:r>
      <w:r>
        <w:rPr>
          <w:rFonts w:ascii="Bookman Old Style" w:hAnsi="Bookman Old Style"/>
          <w:b w:val="0"/>
          <w:sz w:val="16"/>
          <w:vertAlign w:val="baseline"/>
        </w:rPr>
        <w:t>Demuynck and Schollaert (2008) </w:t>
      </w:r>
      <w:r>
        <w:rPr>
          <w:rFonts w:ascii="Bookman Old Style" w:hAnsi="Bookman Old Style"/>
          <w:b w:val="0"/>
          <w:spacing w:val="-4"/>
          <w:sz w:val="16"/>
          <w:vertAlign w:val="superscript"/>
        </w:rPr>
        <w:t>17</w:t>
      </w:r>
      <w:r>
        <w:rPr>
          <w:rFonts w:ascii="Bookman Old Style" w:hAnsi="Bookman Old Style"/>
          <w:b w:val="0"/>
          <w:spacing w:val="-4"/>
          <w:sz w:val="16"/>
          <w:vertAlign w:val="baseline"/>
        </w:rPr>
        <w:t>Blair,</w:t>
      </w:r>
      <w:r>
        <w:rPr>
          <w:rFonts w:ascii="Bookman Old Style" w:hAnsi="Bookman Old Style"/>
          <w:b w:val="0"/>
          <w:spacing w:val="-6"/>
          <w:sz w:val="16"/>
          <w:vertAlign w:val="baseline"/>
        </w:rPr>
        <w:t> </w:t>
      </w:r>
      <w:r>
        <w:rPr>
          <w:rFonts w:ascii="Bookman Old Style" w:hAnsi="Bookman Old Style"/>
          <w:b w:val="0"/>
          <w:spacing w:val="-4"/>
          <w:sz w:val="16"/>
          <w:vertAlign w:val="baseline"/>
        </w:rPr>
        <w:t>Christensen,</w:t>
      </w:r>
      <w:r>
        <w:rPr>
          <w:rFonts w:ascii="Bookman Old Style" w:hAnsi="Bookman Old Style"/>
          <w:b w:val="0"/>
          <w:spacing w:val="-6"/>
          <w:sz w:val="16"/>
          <w:vertAlign w:val="baseline"/>
        </w:rPr>
        <w:t> </w:t>
      </w:r>
      <w:r>
        <w:rPr>
          <w:rFonts w:ascii="Bookman Old Style" w:hAnsi="Bookman Old Style"/>
          <w:b w:val="0"/>
          <w:spacing w:val="-4"/>
          <w:sz w:val="16"/>
          <w:vertAlign w:val="baseline"/>
        </w:rPr>
        <w:t>and</w:t>
      </w:r>
      <w:r>
        <w:rPr>
          <w:rFonts w:ascii="Bookman Old Style" w:hAnsi="Bookman Old Style"/>
          <w:b w:val="0"/>
          <w:spacing w:val="-6"/>
          <w:sz w:val="16"/>
          <w:vertAlign w:val="baseline"/>
        </w:rPr>
        <w:t> </w:t>
      </w:r>
      <w:r>
        <w:rPr>
          <w:rFonts w:ascii="Bookman Old Style" w:hAnsi="Bookman Old Style"/>
          <w:b w:val="0"/>
          <w:spacing w:val="-4"/>
          <w:sz w:val="16"/>
          <w:vertAlign w:val="baseline"/>
        </w:rPr>
        <w:t>Rudkin’s</w:t>
      </w:r>
      <w:r>
        <w:rPr>
          <w:rFonts w:ascii="Bookman Old Style" w:hAnsi="Bookman Old Style"/>
          <w:b w:val="0"/>
          <w:spacing w:val="-6"/>
          <w:sz w:val="16"/>
          <w:vertAlign w:val="baseline"/>
        </w:rPr>
        <w:t> </w:t>
      </w:r>
      <w:r>
        <w:rPr>
          <w:rFonts w:ascii="Bookman Old Style" w:hAnsi="Bookman Old Style"/>
          <w:b w:val="0"/>
          <w:spacing w:val="-4"/>
          <w:sz w:val="16"/>
          <w:vertAlign w:val="baseline"/>
        </w:rPr>
        <w:t>(2021) </w:t>
      </w:r>
      <w:r>
        <w:rPr>
          <w:rFonts w:ascii="Bookman Old Style" w:hAnsi="Bookman Old Style"/>
          <w:b w:val="0"/>
          <w:sz w:val="16"/>
          <w:vertAlign w:val="superscript"/>
        </w:rPr>
        <w:t>18</w:t>
      </w:r>
      <w:r>
        <w:rPr>
          <w:rFonts w:ascii="Bookman Old Style" w:hAnsi="Bookman Old Style"/>
          <w:b w:val="0"/>
          <w:sz w:val="16"/>
          <w:vertAlign w:val="baseline"/>
        </w:rPr>
        <w:t>Blair et al. (2021).</w:t>
      </w:r>
    </w:p>
    <w:p>
      <w:pPr>
        <w:spacing w:before="1"/>
        <w:ind w:left="266" w:right="0" w:firstLine="0"/>
        <w:jc w:val="left"/>
        <w:rPr>
          <w:rFonts w:ascii="Bookman Old Style"/>
          <w:b w:val="0"/>
          <w:sz w:val="16"/>
        </w:rPr>
      </w:pPr>
      <w:r>
        <w:rPr>
          <w:rFonts w:ascii="Bookman Old Style"/>
          <w:b w:val="0"/>
          <w:sz w:val="16"/>
          <w:vertAlign w:val="superscript"/>
        </w:rPr>
        <w:t>19</w:t>
      </w:r>
      <w:r>
        <w:rPr>
          <w:rFonts w:ascii="Bookman Old Style"/>
          <w:b w:val="0"/>
          <w:sz w:val="16"/>
          <w:vertAlign w:val="baseline"/>
        </w:rPr>
        <w:t>Bazzi</w:t>
      </w:r>
      <w:r>
        <w:rPr>
          <w:rFonts w:ascii="Bookman Old Style"/>
          <w:b w:val="0"/>
          <w:spacing w:val="-8"/>
          <w:sz w:val="16"/>
          <w:vertAlign w:val="baseline"/>
        </w:rPr>
        <w:t> </w:t>
      </w:r>
      <w:r>
        <w:rPr>
          <w:rFonts w:ascii="Bookman Old Style"/>
          <w:b w:val="0"/>
          <w:sz w:val="16"/>
          <w:vertAlign w:val="baseline"/>
        </w:rPr>
        <w:t>and</w:t>
      </w:r>
      <w:r>
        <w:rPr>
          <w:rFonts w:ascii="Bookman Old Style"/>
          <w:b w:val="0"/>
          <w:spacing w:val="-8"/>
          <w:sz w:val="16"/>
          <w:vertAlign w:val="baseline"/>
        </w:rPr>
        <w:t> </w:t>
      </w:r>
      <w:r>
        <w:rPr>
          <w:rFonts w:ascii="Bookman Old Style"/>
          <w:b w:val="0"/>
          <w:sz w:val="16"/>
          <w:vertAlign w:val="baseline"/>
        </w:rPr>
        <w:t>Blattman</w:t>
      </w:r>
      <w:r>
        <w:rPr>
          <w:rFonts w:ascii="Bookman Old Style"/>
          <w:b w:val="0"/>
          <w:spacing w:val="-8"/>
          <w:sz w:val="16"/>
          <w:vertAlign w:val="baseline"/>
        </w:rPr>
        <w:t> </w:t>
      </w:r>
      <w:r>
        <w:rPr>
          <w:rFonts w:ascii="Bookman Old Style"/>
          <w:b w:val="0"/>
          <w:spacing w:val="-2"/>
          <w:sz w:val="16"/>
          <w:vertAlign w:val="baseline"/>
        </w:rPr>
        <w:t>(2014).</w:t>
      </w:r>
    </w:p>
    <w:p>
      <w:pPr>
        <w:spacing w:before="2"/>
        <w:ind w:left="266" w:right="0" w:firstLine="0"/>
        <w:jc w:val="left"/>
        <w:rPr>
          <w:rFonts w:ascii="Bookman Old Style"/>
          <w:b w:val="0"/>
          <w:sz w:val="16"/>
        </w:rPr>
      </w:pPr>
      <w:r>
        <w:rPr>
          <w:rFonts w:ascii="Bookman Old Style"/>
          <w:b w:val="0"/>
          <w:spacing w:val="-2"/>
          <w:sz w:val="16"/>
          <w:vertAlign w:val="superscript"/>
        </w:rPr>
        <w:t>20</w:t>
      </w:r>
      <w:r>
        <w:rPr>
          <w:rFonts w:ascii="Bookman Old Style"/>
          <w:b w:val="0"/>
          <w:spacing w:val="-2"/>
          <w:sz w:val="16"/>
          <w:vertAlign w:val="baseline"/>
        </w:rPr>
        <w:t>Dube</w:t>
      </w:r>
      <w:r>
        <w:rPr>
          <w:rFonts w:ascii="Bookman Old Style"/>
          <w:b w:val="0"/>
          <w:spacing w:val="-7"/>
          <w:sz w:val="16"/>
          <w:vertAlign w:val="baseline"/>
        </w:rPr>
        <w:t> </w:t>
      </w:r>
      <w:r>
        <w:rPr>
          <w:rFonts w:ascii="Bookman Old Style"/>
          <w:b w:val="0"/>
          <w:spacing w:val="-2"/>
          <w:sz w:val="16"/>
          <w:vertAlign w:val="baseline"/>
        </w:rPr>
        <w:t>and</w:t>
      </w:r>
      <w:r>
        <w:rPr>
          <w:rFonts w:ascii="Bookman Old Style"/>
          <w:b w:val="0"/>
          <w:spacing w:val="-6"/>
          <w:sz w:val="16"/>
          <w:vertAlign w:val="baseline"/>
        </w:rPr>
        <w:t> </w:t>
      </w:r>
      <w:r>
        <w:rPr>
          <w:rFonts w:ascii="Bookman Old Style"/>
          <w:b w:val="0"/>
          <w:spacing w:val="-2"/>
          <w:sz w:val="16"/>
          <w:vertAlign w:val="baseline"/>
        </w:rPr>
        <w:t>Vargas</w:t>
      </w:r>
      <w:r>
        <w:rPr>
          <w:rFonts w:ascii="Bookman Old Style"/>
          <w:b w:val="0"/>
          <w:spacing w:val="-7"/>
          <w:sz w:val="16"/>
          <w:vertAlign w:val="baseline"/>
        </w:rPr>
        <w:t> </w:t>
      </w:r>
      <w:r>
        <w:rPr>
          <w:rFonts w:ascii="Bookman Old Style"/>
          <w:b w:val="0"/>
          <w:spacing w:val="-2"/>
          <w:sz w:val="16"/>
          <w:vertAlign w:val="baseline"/>
        </w:rPr>
        <w:t>(2013).</w:t>
      </w:r>
    </w:p>
    <w:p>
      <w:pPr>
        <w:spacing w:before="3"/>
        <w:ind w:left="266" w:right="0" w:firstLine="0"/>
        <w:jc w:val="left"/>
        <w:rPr>
          <w:rFonts w:ascii="Bookman Old Style"/>
          <w:b w:val="0"/>
          <w:sz w:val="16"/>
        </w:rPr>
      </w:pPr>
      <w:r>
        <w:rPr>
          <w:rFonts w:ascii="Bookman Old Style"/>
          <w:b w:val="0"/>
          <w:spacing w:val="-2"/>
          <w:sz w:val="16"/>
          <w:vertAlign w:val="superscript"/>
        </w:rPr>
        <w:t>21</w:t>
      </w:r>
      <w:r>
        <w:rPr>
          <w:rFonts w:ascii="Bookman Old Style"/>
          <w:b w:val="0"/>
          <w:spacing w:val="-2"/>
          <w:sz w:val="16"/>
          <w:vertAlign w:val="baseline"/>
        </w:rPr>
        <w:t>Tilly</w:t>
      </w:r>
      <w:r>
        <w:rPr>
          <w:rFonts w:ascii="Bookman Old Style"/>
          <w:b w:val="0"/>
          <w:spacing w:val="-3"/>
          <w:sz w:val="16"/>
          <w:vertAlign w:val="baseline"/>
        </w:rPr>
        <w:t> </w:t>
      </w:r>
      <w:r>
        <w:rPr>
          <w:rFonts w:ascii="Bookman Old Style"/>
          <w:b w:val="0"/>
          <w:spacing w:val="-2"/>
          <w:sz w:val="16"/>
          <w:vertAlign w:val="baseline"/>
        </w:rPr>
        <w:t>(2017);</w:t>
      </w:r>
      <w:r>
        <w:rPr>
          <w:rFonts w:ascii="Bookman Old Style"/>
          <w:b w:val="0"/>
          <w:spacing w:val="-3"/>
          <w:sz w:val="16"/>
          <w:vertAlign w:val="baseline"/>
        </w:rPr>
        <w:t> </w:t>
      </w:r>
      <w:r>
        <w:rPr>
          <w:rFonts w:ascii="Bookman Old Style"/>
          <w:b w:val="0"/>
          <w:spacing w:val="-2"/>
          <w:sz w:val="16"/>
          <w:vertAlign w:val="baseline"/>
        </w:rPr>
        <w:t>Herbst</w:t>
      </w:r>
      <w:r>
        <w:rPr>
          <w:rFonts w:ascii="Bookman Old Style"/>
          <w:b w:val="0"/>
          <w:spacing w:val="-3"/>
          <w:sz w:val="16"/>
          <w:vertAlign w:val="baseline"/>
        </w:rPr>
        <w:t> </w:t>
      </w:r>
      <w:r>
        <w:rPr>
          <w:rFonts w:ascii="Bookman Old Style"/>
          <w:b w:val="0"/>
          <w:spacing w:val="-2"/>
          <w:sz w:val="16"/>
          <w:vertAlign w:val="baseline"/>
        </w:rPr>
        <w:t>(2000);</w:t>
      </w:r>
      <w:r>
        <w:rPr>
          <w:rFonts w:ascii="Bookman Old Style"/>
          <w:b w:val="0"/>
          <w:spacing w:val="-3"/>
          <w:sz w:val="16"/>
          <w:vertAlign w:val="baseline"/>
        </w:rPr>
        <w:t> </w:t>
      </w:r>
      <w:r>
        <w:rPr>
          <w:rFonts w:ascii="Bookman Old Style"/>
          <w:b w:val="0"/>
          <w:spacing w:val="-2"/>
          <w:sz w:val="16"/>
          <w:vertAlign w:val="baseline"/>
        </w:rPr>
        <w:t>Buhaug</w:t>
      </w:r>
      <w:r>
        <w:rPr>
          <w:rFonts w:ascii="Bookman Old Style"/>
          <w:b w:val="0"/>
          <w:spacing w:val="-3"/>
          <w:sz w:val="16"/>
          <w:vertAlign w:val="baseline"/>
        </w:rPr>
        <w:t> </w:t>
      </w:r>
      <w:r>
        <w:rPr>
          <w:rFonts w:ascii="Bookman Old Style"/>
          <w:b w:val="0"/>
          <w:spacing w:val="-2"/>
          <w:sz w:val="16"/>
          <w:vertAlign w:val="baseline"/>
        </w:rPr>
        <w:t>et al.</w:t>
      </w:r>
      <w:r>
        <w:rPr>
          <w:rFonts w:ascii="Bookman Old Style"/>
          <w:b w:val="0"/>
          <w:spacing w:val="13"/>
          <w:sz w:val="16"/>
          <w:vertAlign w:val="baseline"/>
        </w:rPr>
        <w:t> </w:t>
      </w:r>
      <w:r>
        <w:rPr>
          <w:rFonts w:ascii="Bookman Old Style"/>
          <w:b w:val="0"/>
          <w:spacing w:val="-2"/>
          <w:sz w:val="16"/>
          <w:vertAlign w:val="baseline"/>
        </w:rPr>
        <w:t>(2009);</w:t>
      </w:r>
      <w:r>
        <w:rPr>
          <w:rFonts w:ascii="Bookman Old Style"/>
          <w:b w:val="0"/>
          <w:spacing w:val="-3"/>
          <w:sz w:val="16"/>
          <w:vertAlign w:val="baseline"/>
        </w:rPr>
        <w:t> </w:t>
      </w:r>
      <w:r>
        <w:rPr>
          <w:rFonts w:ascii="Bookman Old Style"/>
          <w:b w:val="0"/>
          <w:spacing w:val="-2"/>
          <w:sz w:val="16"/>
          <w:vertAlign w:val="baseline"/>
        </w:rPr>
        <w:t>Roessler (2016).</w:t>
      </w:r>
    </w:p>
    <w:p>
      <w:pPr>
        <w:spacing w:before="2"/>
        <w:ind w:left="266" w:right="0" w:firstLine="0"/>
        <w:jc w:val="left"/>
        <w:rPr>
          <w:rFonts w:ascii="Bookman Old Style"/>
          <w:b w:val="0"/>
          <w:sz w:val="16"/>
        </w:rPr>
      </w:pPr>
      <w:r>
        <w:rPr>
          <w:rFonts w:ascii="Bookman Old Style"/>
          <w:b w:val="0"/>
          <w:spacing w:val="-2"/>
          <w:sz w:val="16"/>
          <w:vertAlign w:val="superscript"/>
        </w:rPr>
        <w:t>22</w:t>
      </w:r>
      <w:r>
        <w:rPr>
          <w:rFonts w:ascii="Bookman Old Style"/>
          <w:b w:val="0"/>
          <w:spacing w:val="-2"/>
          <w:sz w:val="16"/>
          <w:vertAlign w:val="baseline"/>
        </w:rPr>
        <w:t>DeRouen</w:t>
      </w:r>
      <w:r>
        <w:rPr>
          <w:rFonts w:ascii="Bookman Old Style"/>
          <w:b w:val="0"/>
          <w:spacing w:val="-10"/>
          <w:sz w:val="16"/>
          <w:vertAlign w:val="baseline"/>
        </w:rPr>
        <w:t> </w:t>
      </w:r>
      <w:r>
        <w:rPr>
          <w:rFonts w:ascii="Bookman Old Style"/>
          <w:b w:val="0"/>
          <w:spacing w:val="-2"/>
          <w:sz w:val="16"/>
          <w:vertAlign w:val="baseline"/>
        </w:rPr>
        <w:t>and</w:t>
      </w:r>
      <w:r>
        <w:rPr>
          <w:rFonts w:ascii="Bookman Old Style"/>
          <w:b w:val="0"/>
          <w:spacing w:val="-9"/>
          <w:sz w:val="16"/>
          <w:vertAlign w:val="baseline"/>
        </w:rPr>
        <w:t> </w:t>
      </w:r>
      <w:r>
        <w:rPr>
          <w:rFonts w:ascii="Bookman Old Style"/>
          <w:b w:val="0"/>
          <w:spacing w:val="-2"/>
          <w:sz w:val="16"/>
          <w:vertAlign w:val="baseline"/>
        </w:rPr>
        <w:t>Sobek</w:t>
      </w:r>
      <w:r>
        <w:rPr>
          <w:rFonts w:ascii="Bookman Old Style"/>
          <w:b w:val="0"/>
          <w:spacing w:val="-10"/>
          <w:sz w:val="16"/>
          <w:vertAlign w:val="baseline"/>
        </w:rPr>
        <w:t> </w:t>
      </w:r>
      <w:r>
        <w:rPr>
          <w:rFonts w:ascii="Bookman Old Style"/>
          <w:b w:val="0"/>
          <w:spacing w:val="-2"/>
          <w:sz w:val="16"/>
          <w:vertAlign w:val="baseline"/>
        </w:rPr>
        <w:t>(2004).</w:t>
      </w:r>
    </w:p>
    <w:p>
      <w:pPr>
        <w:spacing w:before="2"/>
        <w:ind w:left="266" w:right="0" w:firstLine="0"/>
        <w:jc w:val="left"/>
        <w:rPr>
          <w:rFonts w:ascii="Bookman Old Style"/>
          <w:b w:val="0"/>
          <w:sz w:val="16"/>
        </w:rPr>
      </w:pPr>
      <w:r>
        <w:rPr>
          <w:rFonts w:ascii="Bookman Old Style"/>
          <w:b w:val="0"/>
          <w:sz w:val="16"/>
          <w:vertAlign w:val="superscript"/>
        </w:rPr>
        <w:t>23</w:t>
      </w:r>
      <w:r>
        <w:rPr>
          <w:rFonts w:ascii="Bookman Old Style"/>
          <w:b w:val="0"/>
          <w:sz w:val="16"/>
          <w:vertAlign w:val="baseline"/>
        </w:rPr>
        <w:t>Crepon et al.</w:t>
      </w:r>
      <w:r>
        <w:rPr>
          <w:rFonts w:ascii="Bookman Old Style"/>
          <w:b w:val="0"/>
          <w:spacing w:val="17"/>
          <w:sz w:val="16"/>
          <w:vertAlign w:val="baseline"/>
        </w:rPr>
        <w:t> </w:t>
      </w:r>
      <w:r>
        <w:rPr>
          <w:rFonts w:ascii="Bookman Old Style"/>
          <w:b w:val="0"/>
          <w:spacing w:val="-2"/>
          <w:sz w:val="16"/>
          <w:vertAlign w:val="baseline"/>
        </w:rPr>
        <w:t>(2021).</w:t>
      </w:r>
    </w:p>
    <w:p>
      <w:pPr>
        <w:spacing w:after="0"/>
        <w:jc w:val="left"/>
        <w:rPr>
          <w:rFonts w:ascii="Bookman Old Style"/>
          <w:sz w:val="16"/>
        </w:rPr>
        <w:sectPr>
          <w:pgSz w:w="12240" w:h="15840"/>
          <w:pgMar w:header="0" w:footer="1252" w:top="1100" w:bottom="1440" w:left="1300" w:right="1200"/>
        </w:sectPr>
      </w:pPr>
    </w:p>
    <w:p>
      <w:pPr>
        <w:pStyle w:val="BodyText"/>
        <w:spacing w:before="52"/>
        <w:ind w:left="117"/>
        <w:rPr>
          <w:rFonts w:ascii="Century Gothic"/>
        </w:rPr>
      </w:pPr>
      <w:r>
        <w:rPr/>
        <w:t>specifically</w:t>
      </w:r>
      <w:r>
        <w:rPr>
          <w:spacing w:val="-3"/>
        </w:rPr>
        <w:t> </w:t>
      </w:r>
      <w:r>
        <w:rPr/>
        <w:t>as</w:t>
      </w:r>
      <w:r>
        <w:rPr>
          <w:spacing w:val="-2"/>
        </w:rPr>
        <w:t> </w:t>
      </w:r>
      <w:r>
        <w:rPr/>
        <w:t>a</w:t>
      </w:r>
      <w:r>
        <w:rPr>
          <w:spacing w:val="-3"/>
        </w:rPr>
        <w:t> </w:t>
      </w:r>
      <w:r>
        <w:rPr/>
        <w:t>measure</w:t>
      </w:r>
      <w:r>
        <w:rPr>
          <w:spacing w:val="-2"/>
        </w:rPr>
        <w:t> </w:t>
      </w:r>
      <w:r>
        <w:rPr/>
        <w:t>of</w:t>
      </w:r>
      <w:r>
        <w:rPr>
          <w:spacing w:val="-3"/>
        </w:rPr>
        <w:t> </w:t>
      </w:r>
      <w:r>
        <w:rPr/>
        <w:t>military</w:t>
      </w:r>
      <w:r>
        <w:rPr>
          <w:spacing w:val="-2"/>
        </w:rPr>
        <w:t> capacity.</w:t>
      </w:r>
      <w:r>
        <w:rPr>
          <w:rFonts w:ascii="Century Gothic"/>
          <w:spacing w:val="-2"/>
          <w:vertAlign w:val="superscript"/>
        </w:rPr>
        <w:t>24</w:t>
      </w:r>
    </w:p>
    <w:p>
      <w:pPr>
        <w:pStyle w:val="BodyText"/>
        <w:spacing w:before="4"/>
        <w:rPr>
          <w:rFonts w:ascii="Century Gothic"/>
          <w:sz w:val="17"/>
        </w:rPr>
      </w:pPr>
    </w:p>
    <w:p>
      <w:pPr>
        <w:pStyle w:val="BodyText"/>
        <w:spacing w:line="304" w:lineRule="auto"/>
        <w:ind w:left="117" w:right="633" w:firstLine="298"/>
        <w:jc w:val="both"/>
      </w:pPr>
      <w:r>
        <w:rPr/>
        <w:t>The literature’s debate on state capacity measures and its relationship to conflict onset is long standing.</w:t>
      </w:r>
      <w:r>
        <w:rPr>
          <w:spacing w:val="30"/>
        </w:rPr>
        <w:t> </w:t>
      </w:r>
      <w:r>
        <w:rPr/>
        <w:t>Relative to conflict onset, there is a smaller literature on how military state capacity affects conflict</w:t>
      </w:r>
      <w:r>
        <w:rPr>
          <w:spacing w:val="-13"/>
        </w:rPr>
        <w:t> </w:t>
      </w:r>
      <w:r>
        <w:rPr>
          <w:rFonts w:ascii="Bookman Old Style" w:hAnsi="Bookman Old Style"/>
          <w:b w:val="0"/>
          <w:i/>
        </w:rPr>
        <w:t>severity</w:t>
      </w:r>
      <w:r>
        <w:rPr/>
        <w:t>.</w:t>
      </w:r>
      <w:r>
        <w:rPr>
          <w:rFonts w:ascii="Century Gothic" w:hAnsi="Century Gothic"/>
          <w:vertAlign w:val="superscript"/>
        </w:rPr>
        <w:t>25</w:t>
      </w:r>
      <w:r>
        <w:rPr>
          <w:rFonts w:ascii="Century Gothic" w:hAnsi="Century Gothic"/>
          <w:vertAlign w:val="baseline"/>
        </w:rPr>
        <w:t> </w:t>
      </w:r>
      <w:r>
        <w:rPr>
          <w:vertAlign w:val="baseline"/>
        </w:rPr>
        <w:t>Most</w:t>
      </w:r>
      <w:r>
        <w:rPr>
          <w:spacing w:val="-13"/>
          <w:vertAlign w:val="baseline"/>
        </w:rPr>
        <w:t> </w:t>
      </w:r>
      <w:r>
        <w:rPr>
          <w:vertAlign w:val="baseline"/>
        </w:rPr>
        <w:t>literature</w:t>
      </w:r>
      <w:r>
        <w:rPr>
          <w:spacing w:val="-12"/>
          <w:vertAlign w:val="baseline"/>
        </w:rPr>
        <w:t> </w:t>
      </w:r>
      <w:r>
        <w:rPr>
          <w:vertAlign w:val="baseline"/>
        </w:rPr>
        <w:t>focuses</w:t>
      </w:r>
      <w:r>
        <w:rPr>
          <w:spacing w:val="-12"/>
          <w:vertAlign w:val="baseline"/>
        </w:rPr>
        <w:t> </w:t>
      </w:r>
      <w:r>
        <w:rPr>
          <w:vertAlign w:val="baseline"/>
        </w:rPr>
        <w:t>on</w:t>
      </w:r>
      <w:r>
        <w:rPr>
          <w:spacing w:val="-12"/>
          <w:vertAlign w:val="baseline"/>
        </w:rPr>
        <w:t> </w:t>
      </w:r>
      <w:r>
        <w:rPr>
          <w:vertAlign w:val="baseline"/>
        </w:rPr>
        <w:t>the</w:t>
      </w:r>
      <w:r>
        <w:rPr>
          <w:spacing w:val="-12"/>
          <w:vertAlign w:val="baseline"/>
        </w:rPr>
        <w:t> </w:t>
      </w:r>
      <w:r>
        <w:rPr>
          <w:vertAlign w:val="baseline"/>
        </w:rPr>
        <w:t>relationship</w:t>
      </w:r>
      <w:r>
        <w:rPr>
          <w:spacing w:val="-12"/>
          <w:vertAlign w:val="baseline"/>
        </w:rPr>
        <w:t> </w:t>
      </w:r>
      <w:r>
        <w:rPr>
          <w:vertAlign w:val="baseline"/>
        </w:rPr>
        <w:t>between</w:t>
      </w:r>
      <w:r>
        <w:rPr>
          <w:spacing w:val="-12"/>
          <w:vertAlign w:val="baseline"/>
        </w:rPr>
        <w:t> </w:t>
      </w:r>
      <w:r>
        <w:rPr>
          <w:vertAlign w:val="baseline"/>
        </w:rPr>
        <w:t>state</w:t>
      </w:r>
      <w:r>
        <w:rPr>
          <w:spacing w:val="-12"/>
          <w:vertAlign w:val="baseline"/>
        </w:rPr>
        <w:t> </w:t>
      </w:r>
      <w:r>
        <w:rPr>
          <w:vertAlign w:val="baseline"/>
        </w:rPr>
        <w:t>capacity</w:t>
      </w:r>
      <w:r>
        <w:rPr>
          <w:spacing w:val="-12"/>
          <w:vertAlign w:val="baseline"/>
        </w:rPr>
        <w:t> </w:t>
      </w:r>
      <w:r>
        <w:rPr>
          <w:vertAlign w:val="baseline"/>
        </w:rPr>
        <w:t>and</w:t>
      </w:r>
      <w:r>
        <w:rPr>
          <w:spacing w:val="-12"/>
          <w:vertAlign w:val="baseline"/>
        </w:rPr>
        <w:t> </w:t>
      </w:r>
      <w:r>
        <w:rPr>
          <w:vertAlign w:val="baseline"/>
        </w:rPr>
        <w:t>conflict</w:t>
      </w:r>
      <w:r>
        <w:rPr>
          <w:spacing w:val="-12"/>
          <w:vertAlign w:val="baseline"/>
        </w:rPr>
        <w:t> </w:t>
      </w:r>
      <w:r>
        <w:rPr>
          <w:vertAlign w:val="baseline"/>
        </w:rPr>
        <w:t>onset using static measures such as the size of the army or gross domestic product.</w:t>
      </w:r>
      <w:r>
        <w:rPr>
          <w:spacing w:val="40"/>
          <w:vertAlign w:val="baseline"/>
        </w:rPr>
        <w:t> </w:t>
      </w:r>
      <w:r>
        <w:rPr>
          <w:vertAlign w:val="baseline"/>
        </w:rPr>
        <w:t>These studies do not </w:t>
      </w:r>
      <w:r>
        <w:rPr>
          <w:spacing w:val="-2"/>
          <w:vertAlign w:val="baseline"/>
        </w:rPr>
        <w:t>provide</w:t>
      </w:r>
      <w:r>
        <w:rPr>
          <w:spacing w:val="-9"/>
          <w:vertAlign w:val="baseline"/>
        </w:rPr>
        <w:t> </w:t>
      </w:r>
      <w:r>
        <w:rPr>
          <w:spacing w:val="-2"/>
          <w:vertAlign w:val="baseline"/>
        </w:rPr>
        <w:t>much</w:t>
      </w:r>
      <w:r>
        <w:rPr>
          <w:spacing w:val="-9"/>
          <w:vertAlign w:val="baseline"/>
        </w:rPr>
        <w:t> </w:t>
      </w:r>
      <w:r>
        <w:rPr>
          <w:spacing w:val="-2"/>
          <w:vertAlign w:val="baseline"/>
        </w:rPr>
        <w:t>information</w:t>
      </w:r>
      <w:r>
        <w:rPr>
          <w:spacing w:val="-9"/>
          <w:vertAlign w:val="baseline"/>
        </w:rPr>
        <w:t> </w:t>
      </w:r>
      <w:r>
        <w:rPr>
          <w:spacing w:val="-2"/>
          <w:vertAlign w:val="baseline"/>
        </w:rPr>
        <w:t>about</w:t>
      </w:r>
      <w:r>
        <w:rPr>
          <w:spacing w:val="-9"/>
          <w:vertAlign w:val="baseline"/>
        </w:rPr>
        <w:t> </w:t>
      </w:r>
      <w:r>
        <w:rPr>
          <w:spacing w:val="-2"/>
          <w:vertAlign w:val="baseline"/>
        </w:rPr>
        <w:t>how</w:t>
      </w:r>
      <w:r>
        <w:rPr>
          <w:spacing w:val="-9"/>
          <w:vertAlign w:val="baseline"/>
        </w:rPr>
        <w:t> </w:t>
      </w:r>
      <w:r>
        <w:rPr>
          <w:spacing w:val="-2"/>
          <w:vertAlign w:val="baseline"/>
        </w:rPr>
        <w:t>state</w:t>
      </w:r>
      <w:r>
        <w:rPr>
          <w:spacing w:val="-9"/>
          <w:vertAlign w:val="baseline"/>
        </w:rPr>
        <w:t> </w:t>
      </w:r>
      <w:r>
        <w:rPr>
          <w:spacing w:val="-2"/>
          <w:vertAlign w:val="baseline"/>
        </w:rPr>
        <w:t>capacity</w:t>
      </w:r>
      <w:r>
        <w:rPr>
          <w:spacing w:val="-9"/>
          <w:vertAlign w:val="baseline"/>
        </w:rPr>
        <w:t> </w:t>
      </w:r>
      <w:r>
        <w:rPr>
          <w:spacing w:val="-2"/>
          <w:vertAlign w:val="baseline"/>
        </w:rPr>
        <w:t>affects</w:t>
      </w:r>
      <w:r>
        <w:rPr>
          <w:spacing w:val="-9"/>
          <w:vertAlign w:val="baseline"/>
        </w:rPr>
        <w:t> </w:t>
      </w:r>
      <w:r>
        <w:rPr>
          <w:spacing w:val="-2"/>
          <w:vertAlign w:val="baseline"/>
        </w:rPr>
        <w:t>ongoing</w:t>
      </w:r>
      <w:r>
        <w:rPr>
          <w:spacing w:val="-10"/>
          <w:vertAlign w:val="baseline"/>
        </w:rPr>
        <w:t> </w:t>
      </w:r>
      <w:r>
        <w:rPr>
          <w:spacing w:val="-2"/>
          <w:vertAlign w:val="baseline"/>
        </w:rPr>
        <w:t>conflict.</w:t>
      </w:r>
      <w:r>
        <w:rPr>
          <w:spacing w:val="12"/>
          <w:vertAlign w:val="baseline"/>
        </w:rPr>
        <w:t> </w:t>
      </w:r>
      <w:r>
        <w:rPr>
          <w:spacing w:val="-2"/>
          <w:vertAlign w:val="baseline"/>
        </w:rPr>
        <w:t>Moreover,</w:t>
      </w:r>
      <w:r>
        <w:rPr>
          <w:spacing w:val="-8"/>
          <w:vertAlign w:val="baseline"/>
        </w:rPr>
        <w:t> </w:t>
      </w:r>
      <w:r>
        <w:rPr>
          <w:spacing w:val="-2"/>
          <w:vertAlign w:val="baseline"/>
        </w:rPr>
        <w:t>the</w:t>
      </w:r>
      <w:r>
        <w:rPr>
          <w:spacing w:val="-9"/>
          <w:vertAlign w:val="baseline"/>
        </w:rPr>
        <w:t> </w:t>
      </w:r>
      <w:r>
        <w:rPr>
          <w:spacing w:val="-2"/>
          <w:vertAlign w:val="baseline"/>
        </w:rPr>
        <w:t>determinants </w:t>
      </w:r>
      <w:r>
        <w:rPr>
          <w:vertAlign w:val="baseline"/>
        </w:rPr>
        <w:t>of conflict onset differ from severity.</w:t>
      </w:r>
      <w:r>
        <w:rPr>
          <w:rFonts w:ascii="Century Gothic" w:hAnsi="Century Gothic"/>
          <w:vertAlign w:val="superscript"/>
        </w:rPr>
        <w:t>26</w:t>
      </w:r>
      <w:r>
        <w:rPr>
          <w:rFonts w:ascii="Century Gothic" w:hAnsi="Century Gothic"/>
          <w:spacing w:val="40"/>
          <w:vertAlign w:val="baseline"/>
        </w:rPr>
        <w:t> </w:t>
      </w:r>
      <w:r>
        <w:rPr>
          <w:vertAlign w:val="baseline"/>
        </w:rPr>
        <w:t>Recent work has shown how various state level factors can explain conflict intensity and duration such as state economic conditions</w:t>
      </w:r>
      <w:r>
        <w:rPr>
          <w:rFonts w:ascii="Century Gothic" w:hAnsi="Century Gothic"/>
          <w:vertAlign w:val="superscript"/>
        </w:rPr>
        <w:t>27</w:t>
      </w:r>
      <w:r>
        <w:rPr>
          <w:rFonts w:ascii="Century Gothic" w:hAnsi="Century Gothic"/>
          <w:vertAlign w:val="baseline"/>
        </w:rPr>
        <w:t> </w:t>
      </w:r>
      <w:r>
        <w:rPr>
          <w:vertAlign w:val="baseline"/>
        </w:rPr>
        <w:t>and regime and cultural characteristics.</w:t>
      </w:r>
      <w:r>
        <w:rPr>
          <w:rFonts w:ascii="Century Gothic" w:hAnsi="Century Gothic"/>
          <w:vertAlign w:val="superscript"/>
        </w:rPr>
        <w:t>28</w:t>
      </w:r>
      <w:r>
        <w:rPr>
          <w:rFonts w:ascii="Century Gothic" w:hAnsi="Century Gothic"/>
          <w:vertAlign w:val="baseline"/>
        </w:rPr>
        <w:t> </w:t>
      </w:r>
      <w:r>
        <w:rPr>
          <w:vertAlign w:val="baseline"/>
        </w:rPr>
        <w:t>Military</w:t>
      </w:r>
      <w:r>
        <w:rPr>
          <w:spacing w:val="-3"/>
          <w:vertAlign w:val="baseline"/>
        </w:rPr>
        <w:t> </w:t>
      </w:r>
      <w:r>
        <w:rPr>
          <w:vertAlign w:val="baseline"/>
        </w:rPr>
        <w:t>capacity</w:t>
      </w:r>
      <w:r>
        <w:rPr>
          <w:spacing w:val="-3"/>
          <w:vertAlign w:val="baseline"/>
        </w:rPr>
        <w:t> </w:t>
      </w:r>
      <w:r>
        <w:rPr>
          <w:vertAlign w:val="baseline"/>
        </w:rPr>
        <w:t>is</w:t>
      </w:r>
      <w:r>
        <w:rPr>
          <w:spacing w:val="-3"/>
          <w:vertAlign w:val="baseline"/>
        </w:rPr>
        <w:t> </w:t>
      </w:r>
      <w:r>
        <w:rPr>
          <w:vertAlign w:val="baseline"/>
        </w:rPr>
        <w:t>likely</w:t>
      </w:r>
      <w:r>
        <w:rPr>
          <w:spacing w:val="-3"/>
          <w:vertAlign w:val="baseline"/>
        </w:rPr>
        <w:t> </w:t>
      </w:r>
      <w:r>
        <w:rPr>
          <w:vertAlign w:val="baseline"/>
        </w:rPr>
        <w:t>to</w:t>
      </w:r>
      <w:r>
        <w:rPr>
          <w:spacing w:val="-3"/>
          <w:vertAlign w:val="baseline"/>
        </w:rPr>
        <w:t> </w:t>
      </w:r>
      <w:r>
        <w:rPr>
          <w:vertAlign w:val="baseline"/>
        </w:rPr>
        <w:t>affect</w:t>
      </w:r>
      <w:r>
        <w:rPr>
          <w:spacing w:val="-3"/>
          <w:vertAlign w:val="baseline"/>
        </w:rPr>
        <w:t> </w:t>
      </w:r>
      <w:r>
        <w:rPr>
          <w:vertAlign w:val="baseline"/>
        </w:rPr>
        <w:t>the</w:t>
      </w:r>
      <w:r>
        <w:rPr>
          <w:spacing w:val="-3"/>
          <w:vertAlign w:val="baseline"/>
        </w:rPr>
        <w:t> </w:t>
      </w:r>
      <w:r>
        <w:rPr>
          <w:vertAlign w:val="baseline"/>
        </w:rPr>
        <w:t>severity</w:t>
      </w:r>
      <w:r>
        <w:rPr>
          <w:spacing w:val="-3"/>
          <w:vertAlign w:val="baseline"/>
        </w:rPr>
        <w:t> </w:t>
      </w:r>
      <w:r>
        <w:rPr>
          <w:vertAlign w:val="baseline"/>
        </w:rPr>
        <w:t>of</w:t>
      </w:r>
      <w:r>
        <w:rPr>
          <w:spacing w:val="-3"/>
          <w:vertAlign w:val="baseline"/>
        </w:rPr>
        <w:t> </w:t>
      </w:r>
      <w:r>
        <w:rPr>
          <w:vertAlign w:val="baseline"/>
        </w:rPr>
        <w:t>conflict</w:t>
      </w:r>
      <w:r>
        <w:rPr>
          <w:spacing w:val="-3"/>
          <w:vertAlign w:val="baseline"/>
        </w:rPr>
        <w:t> </w:t>
      </w:r>
      <w:r>
        <w:rPr>
          <w:vertAlign w:val="baseline"/>
        </w:rPr>
        <w:t>as</w:t>
      </w:r>
      <w:r>
        <w:rPr>
          <w:spacing w:val="-3"/>
          <w:vertAlign w:val="baseline"/>
        </w:rPr>
        <w:t> </w:t>
      </w:r>
      <w:r>
        <w:rPr>
          <w:vertAlign w:val="baseline"/>
        </w:rPr>
        <w:t>the</w:t>
      </w:r>
      <w:r>
        <w:rPr>
          <w:spacing w:val="-3"/>
          <w:vertAlign w:val="baseline"/>
        </w:rPr>
        <w:t> </w:t>
      </w:r>
      <w:r>
        <w:rPr>
          <w:vertAlign w:val="baseline"/>
        </w:rPr>
        <w:t>government</w:t>
      </w:r>
      <w:r>
        <w:rPr>
          <w:spacing w:val="-3"/>
          <w:vertAlign w:val="baseline"/>
        </w:rPr>
        <w:t> </w:t>
      </w:r>
      <w:r>
        <w:rPr>
          <w:vertAlign w:val="baseline"/>
        </w:rPr>
        <w:t>works</w:t>
      </w:r>
      <w:r>
        <w:rPr>
          <w:spacing w:val="-3"/>
          <w:vertAlign w:val="baseline"/>
        </w:rPr>
        <w:t> </w:t>
      </w:r>
      <w:r>
        <w:rPr>
          <w:vertAlign w:val="baseline"/>
        </w:rPr>
        <w:t>to defeat</w:t>
      </w:r>
      <w:r>
        <w:rPr>
          <w:spacing w:val="-12"/>
          <w:vertAlign w:val="baseline"/>
        </w:rPr>
        <w:t> </w:t>
      </w:r>
      <w:r>
        <w:rPr>
          <w:vertAlign w:val="baseline"/>
        </w:rPr>
        <w:t>insurgents.</w:t>
      </w:r>
      <w:r>
        <w:rPr>
          <w:spacing w:val="5"/>
          <w:vertAlign w:val="baseline"/>
        </w:rPr>
        <w:t> </w:t>
      </w:r>
      <w:r>
        <w:rPr>
          <w:vertAlign w:val="baseline"/>
        </w:rPr>
        <w:t>National</w:t>
      </w:r>
      <w:r>
        <w:rPr>
          <w:spacing w:val="-12"/>
          <w:vertAlign w:val="baseline"/>
        </w:rPr>
        <w:t> </w:t>
      </w:r>
      <w:r>
        <w:rPr>
          <w:vertAlign w:val="baseline"/>
        </w:rPr>
        <w:t>militaries</w:t>
      </w:r>
      <w:r>
        <w:rPr>
          <w:spacing w:val="-12"/>
          <w:vertAlign w:val="baseline"/>
        </w:rPr>
        <w:t> </w:t>
      </w:r>
      <w:r>
        <w:rPr>
          <w:vertAlign w:val="baseline"/>
        </w:rPr>
        <w:t>with</w:t>
      </w:r>
      <w:r>
        <w:rPr>
          <w:spacing w:val="-12"/>
          <w:vertAlign w:val="baseline"/>
        </w:rPr>
        <w:t> </w:t>
      </w:r>
      <w:r>
        <w:rPr>
          <w:vertAlign w:val="baseline"/>
        </w:rPr>
        <w:t>combined</w:t>
      </w:r>
      <w:r>
        <w:rPr>
          <w:spacing w:val="-12"/>
          <w:vertAlign w:val="baseline"/>
        </w:rPr>
        <w:t> </w:t>
      </w:r>
      <w:r>
        <w:rPr>
          <w:vertAlign w:val="baseline"/>
        </w:rPr>
        <w:t>arms</w:t>
      </w:r>
      <w:r>
        <w:rPr>
          <w:spacing w:val="-12"/>
          <w:vertAlign w:val="baseline"/>
        </w:rPr>
        <w:t> </w:t>
      </w:r>
      <w:r>
        <w:rPr>
          <w:vertAlign w:val="baseline"/>
        </w:rPr>
        <w:t>capabilities,</w:t>
      </w:r>
      <w:r>
        <w:rPr>
          <w:spacing w:val="-11"/>
          <w:vertAlign w:val="baseline"/>
        </w:rPr>
        <w:t> </w:t>
      </w:r>
      <w:r>
        <w:rPr>
          <w:vertAlign w:val="baseline"/>
        </w:rPr>
        <w:t>or</w:t>
      </w:r>
      <w:r>
        <w:rPr>
          <w:spacing w:val="-12"/>
          <w:vertAlign w:val="baseline"/>
        </w:rPr>
        <w:t> </w:t>
      </w:r>
      <w:r>
        <w:rPr>
          <w:vertAlign w:val="baseline"/>
        </w:rPr>
        <w:t>mechanized</w:t>
      </w:r>
      <w:r>
        <w:rPr>
          <w:spacing w:val="-12"/>
          <w:vertAlign w:val="baseline"/>
        </w:rPr>
        <w:t> </w:t>
      </w:r>
      <w:r>
        <w:rPr>
          <w:vertAlign w:val="baseline"/>
        </w:rPr>
        <w:t>infantry,</w:t>
      </w:r>
      <w:r>
        <w:rPr>
          <w:spacing w:val="-11"/>
          <w:vertAlign w:val="baseline"/>
        </w:rPr>
        <w:t> </w:t>
      </w:r>
      <w:r>
        <w:rPr>
          <w:vertAlign w:val="baseline"/>
        </w:rPr>
        <w:t>armor, and</w:t>
      </w:r>
      <w:r>
        <w:rPr>
          <w:spacing w:val="-7"/>
          <w:vertAlign w:val="baseline"/>
        </w:rPr>
        <w:t> </w:t>
      </w:r>
      <w:r>
        <w:rPr>
          <w:vertAlign w:val="baseline"/>
        </w:rPr>
        <w:t>air</w:t>
      </w:r>
      <w:r>
        <w:rPr>
          <w:spacing w:val="-7"/>
          <w:vertAlign w:val="baseline"/>
        </w:rPr>
        <w:t> </w:t>
      </w:r>
      <w:r>
        <w:rPr>
          <w:vertAlign w:val="baseline"/>
        </w:rPr>
        <w:t>units</w:t>
      </w:r>
      <w:r>
        <w:rPr>
          <w:spacing w:val="-7"/>
          <w:vertAlign w:val="baseline"/>
        </w:rPr>
        <w:t> </w:t>
      </w:r>
      <w:r>
        <w:rPr>
          <w:vertAlign w:val="baseline"/>
        </w:rPr>
        <w:t>working</w:t>
      </w:r>
      <w:r>
        <w:rPr>
          <w:spacing w:val="-7"/>
          <w:vertAlign w:val="baseline"/>
        </w:rPr>
        <w:t> </w:t>
      </w:r>
      <w:r>
        <w:rPr>
          <w:vertAlign w:val="baseline"/>
        </w:rPr>
        <w:t>in</w:t>
      </w:r>
      <w:r>
        <w:rPr>
          <w:spacing w:val="-7"/>
          <w:vertAlign w:val="baseline"/>
        </w:rPr>
        <w:t> </w:t>
      </w:r>
      <w:r>
        <w:rPr>
          <w:vertAlign w:val="baseline"/>
        </w:rPr>
        <w:t>tandem,</w:t>
      </w:r>
      <w:r>
        <w:rPr>
          <w:spacing w:val="-6"/>
          <w:vertAlign w:val="baseline"/>
        </w:rPr>
        <w:t> </w:t>
      </w:r>
      <w:r>
        <w:rPr>
          <w:vertAlign w:val="baseline"/>
        </w:rPr>
        <w:t>are</w:t>
      </w:r>
      <w:r>
        <w:rPr>
          <w:spacing w:val="-7"/>
          <w:vertAlign w:val="baseline"/>
        </w:rPr>
        <w:t> </w:t>
      </w:r>
      <w:r>
        <w:rPr>
          <w:vertAlign w:val="baseline"/>
        </w:rPr>
        <w:t>correlated</w:t>
      </w:r>
      <w:r>
        <w:rPr>
          <w:spacing w:val="-7"/>
          <w:vertAlign w:val="baseline"/>
        </w:rPr>
        <w:t> </w:t>
      </w:r>
      <w:r>
        <w:rPr>
          <w:vertAlign w:val="baseline"/>
        </w:rPr>
        <w:t>with</w:t>
      </w:r>
      <w:r>
        <w:rPr>
          <w:spacing w:val="-7"/>
          <w:vertAlign w:val="baseline"/>
        </w:rPr>
        <w:t> </w:t>
      </w:r>
      <w:r>
        <w:rPr>
          <w:vertAlign w:val="baseline"/>
        </w:rPr>
        <w:t>shorter</w:t>
      </w:r>
      <w:r>
        <w:rPr>
          <w:spacing w:val="-7"/>
          <w:vertAlign w:val="baseline"/>
        </w:rPr>
        <w:t> </w:t>
      </w:r>
      <w:r>
        <w:rPr>
          <w:vertAlign w:val="baseline"/>
        </w:rPr>
        <w:t>civil</w:t>
      </w:r>
      <w:r>
        <w:rPr>
          <w:spacing w:val="-7"/>
          <w:vertAlign w:val="baseline"/>
        </w:rPr>
        <w:t> </w:t>
      </w:r>
      <w:r>
        <w:rPr>
          <w:vertAlign w:val="baseline"/>
        </w:rPr>
        <w:t>conflict</w:t>
      </w:r>
      <w:r>
        <w:rPr>
          <w:spacing w:val="-7"/>
          <w:vertAlign w:val="baseline"/>
        </w:rPr>
        <w:t> </w:t>
      </w:r>
      <w:r>
        <w:rPr>
          <w:vertAlign w:val="baseline"/>
        </w:rPr>
        <w:t>duration.</w:t>
      </w:r>
      <w:r>
        <w:rPr>
          <w:rFonts w:ascii="Century Gothic" w:hAnsi="Century Gothic"/>
          <w:vertAlign w:val="superscript"/>
        </w:rPr>
        <w:t>29</w:t>
      </w:r>
      <w:r>
        <w:rPr>
          <w:rFonts w:ascii="Century Gothic" w:hAnsi="Century Gothic"/>
          <w:vertAlign w:val="baseline"/>
        </w:rPr>
        <w:t> </w:t>
      </w:r>
      <w:r>
        <w:rPr>
          <w:vertAlign w:val="baseline"/>
        </w:rPr>
        <w:t>Such</w:t>
      </w:r>
      <w:r>
        <w:rPr>
          <w:spacing w:val="-7"/>
          <w:vertAlign w:val="baseline"/>
        </w:rPr>
        <w:t> </w:t>
      </w:r>
      <w:r>
        <w:rPr>
          <w:vertAlign w:val="baseline"/>
        </w:rPr>
        <w:t>capabilities, not only in the form of equipment, but in training in order to operate in tandem, require significant investments.</w:t>
      </w:r>
      <w:r>
        <w:rPr>
          <w:spacing w:val="9"/>
          <w:vertAlign w:val="baseline"/>
        </w:rPr>
        <w:t> </w:t>
      </w:r>
      <w:r>
        <w:rPr>
          <w:vertAlign w:val="baseline"/>
        </w:rPr>
        <w:t>Building</w:t>
      </w:r>
      <w:r>
        <w:rPr>
          <w:spacing w:val="-10"/>
          <w:vertAlign w:val="baseline"/>
        </w:rPr>
        <w:t> </w:t>
      </w:r>
      <w:r>
        <w:rPr>
          <w:vertAlign w:val="baseline"/>
        </w:rPr>
        <w:t>on</w:t>
      </w:r>
      <w:r>
        <w:rPr>
          <w:spacing w:val="-10"/>
          <w:vertAlign w:val="baseline"/>
        </w:rPr>
        <w:t> </w:t>
      </w:r>
      <w:r>
        <w:rPr>
          <w:vertAlign w:val="baseline"/>
        </w:rPr>
        <w:t>existing</w:t>
      </w:r>
      <w:r>
        <w:rPr>
          <w:spacing w:val="-9"/>
          <w:vertAlign w:val="baseline"/>
        </w:rPr>
        <w:t> </w:t>
      </w:r>
      <w:r>
        <w:rPr>
          <w:vertAlign w:val="baseline"/>
        </w:rPr>
        <w:t>work,</w:t>
      </w:r>
      <w:r>
        <w:rPr>
          <w:spacing w:val="-8"/>
          <w:vertAlign w:val="baseline"/>
        </w:rPr>
        <w:t> </w:t>
      </w:r>
      <w:r>
        <w:rPr>
          <w:rFonts w:ascii="Century Gothic" w:hAnsi="Century Gothic"/>
          <w:vertAlign w:val="superscript"/>
        </w:rPr>
        <w:t>30</w:t>
      </w:r>
      <w:r>
        <w:rPr>
          <w:vertAlign w:val="baseline"/>
        </w:rPr>
        <w:t>we</w:t>
      </w:r>
      <w:r>
        <w:rPr>
          <w:spacing w:val="-10"/>
          <w:vertAlign w:val="baseline"/>
        </w:rPr>
        <w:t> </w:t>
      </w:r>
      <w:r>
        <w:rPr>
          <w:vertAlign w:val="baseline"/>
        </w:rPr>
        <w:t>focus</w:t>
      </w:r>
      <w:r>
        <w:rPr>
          <w:spacing w:val="-10"/>
          <w:vertAlign w:val="baseline"/>
        </w:rPr>
        <w:t> </w:t>
      </w:r>
      <w:r>
        <w:rPr>
          <w:vertAlign w:val="baseline"/>
        </w:rPr>
        <w:t>here</w:t>
      </w:r>
      <w:r>
        <w:rPr>
          <w:spacing w:val="-10"/>
          <w:vertAlign w:val="baseline"/>
        </w:rPr>
        <w:t> </w:t>
      </w:r>
      <w:r>
        <w:rPr>
          <w:vertAlign w:val="baseline"/>
        </w:rPr>
        <w:t>on</w:t>
      </w:r>
      <w:r>
        <w:rPr>
          <w:spacing w:val="-10"/>
          <w:vertAlign w:val="baseline"/>
        </w:rPr>
        <w:t> </w:t>
      </w:r>
      <w:r>
        <w:rPr>
          <w:vertAlign w:val="baseline"/>
        </w:rPr>
        <w:t>military</w:t>
      </w:r>
      <w:r>
        <w:rPr>
          <w:spacing w:val="-10"/>
          <w:vertAlign w:val="baseline"/>
        </w:rPr>
        <w:t> </w:t>
      </w:r>
      <w:r>
        <w:rPr>
          <w:vertAlign w:val="baseline"/>
        </w:rPr>
        <w:t>state</w:t>
      </w:r>
      <w:r>
        <w:rPr>
          <w:spacing w:val="-9"/>
          <w:vertAlign w:val="baseline"/>
        </w:rPr>
        <w:t> </w:t>
      </w:r>
      <w:r>
        <w:rPr>
          <w:vertAlign w:val="baseline"/>
        </w:rPr>
        <w:t>capacity</w:t>
      </w:r>
      <w:r>
        <w:rPr>
          <w:spacing w:val="-10"/>
          <w:vertAlign w:val="baseline"/>
        </w:rPr>
        <w:t> </w:t>
      </w:r>
      <w:r>
        <w:rPr>
          <w:vertAlign w:val="baseline"/>
        </w:rPr>
        <w:t>and</w:t>
      </w:r>
      <w:r>
        <w:rPr>
          <w:spacing w:val="-10"/>
          <w:vertAlign w:val="baseline"/>
        </w:rPr>
        <w:t> </w:t>
      </w:r>
      <w:r>
        <w:rPr>
          <w:vertAlign w:val="baseline"/>
        </w:rPr>
        <w:t>factors</w:t>
      </w:r>
      <w:r>
        <w:rPr>
          <w:spacing w:val="-10"/>
          <w:vertAlign w:val="baseline"/>
        </w:rPr>
        <w:t> </w:t>
      </w:r>
      <w:r>
        <w:rPr>
          <w:vertAlign w:val="baseline"/>
        </w:rPr>
        <w:t>related</w:t>
      </w:r>
      <w:r>
        <w:rPr>
          <w:spacing w:val="-10"/>
          <w:vertAlign w:val="baseline"/>
        </w:rPr>
        <w:t> </w:t>
      </w:r>
      <w:r>
        <w:rPr>
          <w:vertAlign w:val="baseline"/>
        </w:rPr>
        <w:t>to conflict</w:t>
      </w:r>
      <w:r>
        <w:rPr>
          <w:spacing w:val="-11"/>
          <w:vertAlign w:val="baseline"/>
        </w:rPr>
        <w:t> </w:t>
      </w:r>
      <w:r>
        <w:rPr>
          <w:vertAlign w:val="baseline"/>
        </w:rPr>
        <w:t>intensity,</w:t>
      </w:r>
      <w:r>
        <w:rPr>
          <w:spacing w:val="-11"/>
          <w:vertAlign w:val="baseline"/>
        </w:rPr>
        <w:t> </w:t>
      </w:r>
      <w:r>
        <w:rPr>
          <w:vertAlign w:val="baseline"/>
        </w:rPr>
        <w:t>conceptualized</w:t>
      </w:r>
      <w:r>
        <w:rPr>
          <w:spacing w:val="-11"/>
          <w:vertAlign w:val="baseline"/>
        </w:rPr>
        <w:t> </w:t>
      </w:r>
      <w:r>
        <w:rPr>
          <w:vertAlign w:val="baseline"/>
        </w:rPr>
        <w:t>as</w:t>
      </w:r>
      <w:r>
        <w:rPr>
          <w:spacing w:val="-11"/>
          <w:vertAlign w:val="baseline"/>
        </w:rPr>
        <w:t> </w:t>
      </w:r>
      <w:r>
        <w:rPr>
          <w:vertAlign w:val="baseline"/>
        </w:rPr>
        <w:t>conflict-related</w:t>
      </w:r>
      <w:r>
        <w:rPr>
          <w:spacing w:val="-11"/>
          <w:vertAlign w:val="baseline"/>
        </w:rPr>
        <w:t> </w:t>
      </w:r>
      <w:r>
        <w:rPr>
          <w:vertAlign w:val="baseline"/>
        </w:rPr>
        <w:t>battle</w:t>
      </w:r>
      <w:r>
        <w:rPr>
          <w:spacing w:val="-11"/>
          <w:vertAlign w:val="baseline"/>
        </w:rPr>
        <w:t> </w:t>
      </w:r>
      <w:r>
        <w:rPr>
          <w:vertAlign w:val="baseline"/>
        </w:rPr>
        <w:t>deaths.</w:t>
      </w:r>
      <w:r>
        <w:rPr>
          <w:spacing w:val="3"/>
          <w:vertAlign w:val="baseline"/>
        </w:rPr>
        <w:t> </w:t>
      </w:r>
      <w:r>
        <w:rPr>
          <w:vertAlign w:val="baseline"/>
        </w:rPr>
        <w:t>We</w:t>
      </w:r>
      <w:r>
        <w:rPr>
          <w:spacing w:val="-11"/>
          <w:vertAlign w:val="baseline"/>
        </w:rPr>
        <w:t> </w:t>
      </w:r>
      <w:r>
        <w:rPr>
          <w:vertAlign w:val="baseline"/>
        </w:rPr>
        <w:t>depart</w:t>
      </w:r>
      <w:r>
        <w:rPr>
          <w:spacing w:val="-11"/>
          <w:vertAlign w:val="baseline"/>
        </w:rPr>
        <w:t> </w:t>
      </w:r>
      <w:r>
        <w:rPr>
          <w:vertAlign w:val="baseline"/>
        </w:rPr>
        <w:t>from</w:t>
      </w:r>
      <w:r>
        <w:rPr>
          <w:spacing w:val="-11"/>
          <w:vertAlign w:val="baseline"/>
        </w:rPr>
        <w:t> </w:t>
      </w:r>
      <w:r>
        <w:rPr>
          <w:vertAlign w:val="baseline"/>
        </w:rPr>
        <w:t>this</w:t>
      </w:r>
      <w:r>
        <w:rPr>
          <w:spacing w:val="-11"/>
          <w:vertAlign w:val="baseline"/>
        </w:rPr>
        <w:t> </w:t>
      </w:r>
      <w:r>
        <w:rPr>
          <w:vertAlign w:val="baseline"/>
        </w:rPr>
        <w:t>work</w:t>
      </w:r>
      <w:r>
        <w:rPr>
          <w:spacing w:val="-11"/>
          <w:vertAlign w:val="baseline"/>
        </w:rPr>
        <w:t> </w:t>
      </w:r>
      <w:r>
        <w:rPr>
          <w:vertAlign w:val="baseline"/>
        </w:rPr>
        <w:t>by</w:t>
      </w:r>
      <w:r>
        <w:rPr>
          <w:spacing w:val="-11"/>
          <w:vertAlign w:val="baseline"/>
        </w:rPr>
        <w:t> </w:t>
      </w:r>
      <w:r>
        <w:rPr>
          <w:vertAlign w:val="baseline"/>
        </w:rPr>
        <w:t>arguing that</w:t>
      </w:r>
      <w:r>
        <w:rPr>
          <w:spacing w:val="-2"/>
          <w:vertAlign w:val="baseline"/>
        </w:rPr>
        <w:t> </w:t>
      </w:r>
      <w:r>
        <w:rPr>
          <w:vertAlign w:val="baseline"/>
        </w:rPr>
        <w:t>impacts</w:t>
      </w:r>
      <w:r>
        <w:rPr>
          <w:spacing w:val="-2"/>
          <w:vertAlign w:val="baseline"/>
        </w:rPr>
        <w:t> </w:t>
      </w:r>
      <w:r>
        <w:rPr>
          <w:vertAlign w:val="baseline"/>
        </w:rPr>
        <w:t>to</w:t>
      </w:r>
      <w:r>
        <w:rPr>
          <w:spacing w:val="-2"/>
          <w:vertAlign w:val="baseline"/>
        </w:rPr>
        <w:t> </w:t>
      </w:r>
      <w:r>
        <w:rPr>
          <w:vertAlign w:val="baseline"/>
        </w:rPr>
        <w:t>state</w:t>
      </w:r>
      <w:r>
        <w:rPr>
          <w:spacing w:val="-2"/>
          <w:vertAlign w:val="baseline"/>
        </w:rPr>
        <w:t> </w:t>
      </w:r>
      <w:r>
        <w:rPr>
          <w:vertAlign w:val="baseline"/>
        </w:rPr>
        <w:t>capacity</w:t>
      </w:r>
      <w:r>
        <w:rPr>
          <w:spacing w:val="-2"/>
          <w:vertAlign w:val="baseline"/>
        </w:rPr>
        <w:t> </w:t>
      </w:r>
      <w:r>
        <w:rPr>
          <w:vertAlign w:val="baseline"/>
        </w:rPr>
        <w:t>overwhelm</w:t>
      </w:r>
      <w:r>
        <w:rPr>
          <w:spacing w:val="-2"/>
          <w:vertAlign w:val="baseline"/>
        </w:rPr>
        <w:t> </w:t>
      </w:r>
      <w:r>
        <w:rPr>
          <w:vertAlign w:val="baseline"/>
        </w:rPr>
        <w:t>impacts</w:t>
      </w:r>
      <w:r>
        <w:rPr>
          <w:spacing w:val="-2"/>
          <w:vertAlign w:val="baseline"/>
        </w:rPr>
        <w:t> </w:t>
      </w:r>
      <w:r>
        <w:rPr>
          <w:vertAlign w:val="baseline"/>
        </w:rPr>
        <w:t>to</w:t>
      </w:r>
      <w:r>
        <w:rPr>
          <w:spacing w:val="-2"/>
          <w:vertAlign w:val="baseline"/>
        </w:rPr>
        <w:t> </w:t>
      </w:r>
      <w:r>
        <w:rPr>
          <w:vertAlign w:val="baseline"/>
        </w:rPr>
        <w:t>rebel</w:t>
      </w:r>
      <w:r>
        <w:rPr>
          <w:spacing w:val="-2"/>
          <w:vertAlign w:val="baseline"/>
        </w:rPr>
        <w:t> </w:t>
      </w:r>
      <w:r>
        <w:rPr>
          <w:vertAlign w:val="baseline"/>
        </w:rPr>
        <w:t>capabilities</w:t>
      </w:r>
      <w:r>
        <w:rPr>
          <w:spacing w:val="-2"/>
          <w:vertAlign w:val="baseline"/>
        </w:rPr>
        <w:t> </w:t>
      </w:r>
      <w:r>
        <w:rPr>
          <w:vertAlign w:val="baseline"/>
        </w:rPr>
        <w:t>or</w:t>
      </w:r>
      <w:r>
        <w:rPr>
          <w:spacing w:val="-2"/>
          <w:vertAlign w:val="baseline"/>
        </w:rPr>
        <w:t> </w:t>
      </w:r>
      <w:r>
        <w:rPr>
          <w:vertAlign w:val="baseline"/>
        </w:rPr>
        <w:t>incentives,</w:t>
      </w:r>
      <w:r>
        <w:rPr>
          <w:spacing w:val="-2"/>
          <w:vertAlign w:val="baseline"/>
        </w:rPr>
        <w:t> </w:t>
      </w:r>
      <w:r>
        <w:rPr>
          <w:vertAlign w:val="baseline"/>
        </w:rPr>
        <w:t>as</w:t>
      </w:r>
      <w:r>
        <w:rPr>
          <w:spacing w:val="-2"/>
          <w:vertAlign w:val="baseline"/>
        </w:rPr>
        <w:t> </w:t>
      </w:r>
      <w:r>
        <w:rPr>
          <w:vertAlign w:val="baseline"/>
        </w:rPr>
        <w:t>oil</w:t>
      </w:r>
      <w:r>
        <w:rPr>
          <w:spacing w:val="-2"/>
          <w:vertAlign w:val="baseline"/>
        </w:rPr>
        <w:t> </w:t>
      </w:r>
      <w:r>
        <w:rPr>
          <w:vertAlign w:val="baseline"/>
        </w:rPr>
        <w:t>rents</w:t>
      </w:r>
      <w:r>
        <w:rPr>
          <w:spacing w:val="-2"/>
          <w:vertAlign w:val="baseline"/>
        </w:rPr>
        <w:t> </w:t>
      </w:r>
      <w:r>
        <w:rPr>
          <w:vertAlign w:val="baseline"/>
        </w:rPr>
        <w:t>enable more military spending and leave governments better equipped to fight rebels.</w:t>
      </w:r>
    </w:p>
    <w:p>
      <w:pPr>
        <w:pStyle w:val="BodyText"/>
        <w:spacing w:line="316" w:lineRule="auto" w:before="157"/>
        <w:ind w:left="117" w:right="634" w:firstLine="298"/>
        <w:jc w:val="both"/>
      </w:pPr>
      <w:r>
        <w:rPr/>
        <w:t>In sum, there is reason to suspect that military capacity is an important variable in determining</w:t>
      </w:r>
      <w:r>
        <w:rPr>
          <w:spacing w:val="40"/>
        </w:rPr>
        <w:t> </w:t>
      </w:r>
      <w:r>
        <w:rPr/>
        <w:t>the</w:t>
      </w:r>
      <w:r>
        <w:rPr>
          <w:spacing w:val="-5"/>
        </w:rPr>
        <w:t> </w:t>
      </w:r>
      <w:r>
        <w:rPr/>
        <w:t>intensity</w:t>
      </w:r>
      <w:r>
        <w:rPr>
          <w:spacing w:val="-6"/>
        </w:rPr>
        <w:t> </w:t>
      </w:r>
      <w:r>
        <w:rPr/>
        <w:t>of</w:t>
      </w:r>
      <w:r>
        <w:rPr>
          <w:spacing w:val="-5"/>
        </w:rPr>
        <w:t> </w:t>
      </w:r>
      <w:r>
        <w:rPr/>
        <w:t>ongoing</w:t>
      </w:r>
      <w:r>
        <w:rPr>
          <w:spacing w:val="-6"/>
        </w:rPr>
        <w:t> </w:t>
      </w:r>
      <w:r>
        <w:rPr/>
        <w:t>civil</w:t>
      </w:r>
      <w:r>
        <w:rPr>
          <w:spacing w:val="-5"/>
        </w:rPr>
        <w:t> </w:t>
      </w:r>
      <w:r>
        <w:rPr/>
        <w:t>conflict,</w:t>
      </w:r>
      <w:r>
        <w:rPr>
          <w:spacing w:val="-6"/>
        </w:rPr>
        <w:t> </w:t>
      </w:r>
      <w:r>
        <w:rPr/>
        <w:t>and</w:t>
      </w:r>
      <w:r>
        <w:rPr>
          <w:spacing w:val="-5"/>
        </w:rPr>
        <w:t> </w:t>
      </w:r>
      <w:r>
        <w:rPr/>
        <w:t>that</w:t>
      </w:r>
      <w:r>
        <w:rPr>
          <w:spacing w:val="-6"/>
        </w:rPr>
        <w:t> </w:t>
      </w:r>
      <w:r>
        <w:rPr/>
        <w:t>military</w:t>
      </w:r>
      <w:r>
        <w:rPr>
          <w:spacing w:val="-5"/>
        </w:rPr>
        <w:t> </w:t>
      </w:r>
      <w:r>
        <w:rPr/>
        <w:t>expenditures</w:t>
      </w:r>
      <w:r>
        <w:rPr>
          <w:spacing w:val="-6"/>
        </w:rPr>
        <w:t> </w:t>
      </w:r>
      <w:r>
        <w:rPr/>
        <w:t>is</w:t>
      </w:r>
      <w:r>
        <w:rPr>
          <w:spacing w:val="-5"/>
        </w:rPr>
        <w:t> </w:t>
      </w:r>
      <w:r>
        <w:rPr/>
        <w:t>a</w:t>
      </w:r>
      <w:r>
        <w:rPr>
          <w:spacing w:val="-6"/>
        </w:rPr>
        <w:t> </w:t>
      </w:r>
      <w:r>
        <w:rPr/>
        <w:t>reasonable</w:t>
      </w:r>
      <w:r>
        <w:rPr>
          <w:spacing w:val="-5"/>
        </w:rPr>
        <w:t> </w:t>
      </w:r>
      <w:r>
        <w:rPr/>
        <w:t>means</w:t>
      </w:r>
      <w:r>
        <w:rPr>
          <w:spacing w:val="-6"/>
        </w:rPr>
        <w:t> </w:t>
      </w:r>
      <w:r>
        <w:rPr/>
        <w:t>by</w:t>
      </w:r>
      <w:r>
        <w:rPr>
          <w:spacing w:val="-5"/>
        </w:rPr>
        <w:t> </w:t>
      </w:r>
      <w:r>
        <w:rPr/>
        <w:t>which</w:t>
      </w:r>
      <w:r>
        <w:rPr>
          <w:spacing w:val="-6"/>
        </w:rPr>
        <w:t> </w:t>
      </w:r>
      <w:r>
        <w:rPr/>
        <w:t>to estimate this capacity.</w:t>
      </w:r>
      <w:r>
        <w:rPr>
          <w:spacing w:val="37"/>
        </w:rPr>
        <w:t> </w:t>
      </w:r>
      <w:r>
        <w:rPr/>
        <w:t>We aim to add to this literature with the results here.</w:t>
      </w:r>
    </w:p>
    <w:p>
      <w:pPr>
        <w:pStyle w:val="BodyText"/>
        <w:spacing w:before="4"/>
        <w:rPr>
          <w:sz w:val="25"/>
        </w:rPr>
      </w:pPr>
    </w:p>
    <w:p>
      <w:pPr>
        <w:pStyle w:val="Heading2"/>
        <w:numPr>
          <w:ilvl w:val="1"/>
          <w:numId w:val="1"/>
        </w:numPr>
        <w:tabs>
          <w:tab w:pos="729" w:val="left" w:leader="none"/>
          <w:tab w:pos="731" w:val="left" w:leader="none"/>
        </w:tabs>
        <w:spacing w:line="240" w:lineRule="auto" w:before="1" w:after="0"/>
        <w:ind w:left="730" w:right="0" w:hanging="614"/>
        <w:jc w:val="left"/>
      </w:pPr>
      <w:r>
        <w:rPr/>
        <w:t>Oil</w:t>
      </w:r>
      <w:r>
        <w:rPr>
          <w:spacing w:val="-4"/>
        </w:rPr>
        <w:t> </w:t>
      </w:r>
      <w:r>
        <w:rPr/>
        <w:t>and</w:t>
      </w:r>
      <w:r>
        <w:rPr>
          <w:spacing w:val="-3"/>
        </w:rPr>
        <w:t> </w:t>
      </w:r>
      <w:r>
        <w:rPr/>
        <w:t>Military</w:t>
      </w:r>
      <w:r>
        <w:rPr>
          <w:spacing w:val="-3"/>
        </w:rPr>
        <w:t> </w:t>
      </w:r>
      <w:r>
        <w:rPr>
          <w:spacing w:val="-2"/>
        </w:rPr>
        <w:t>Expenditures</w:t>
      </w:r>
    </w:p>
    <w:p>
      <w:pPr>
        <w:pStyle w:val="BodyText"/>
        <w:spacing w:line="312" w:lineRule="auto" w:before="191"/>
        <w:ind w:left="117" w:right="634" w:firstLine="298"/>
        <w:jc w:val="both"/>
      </w:pPr>
      <w:r>
        <w:rPr/>
        <w:pict>
          <v:shape style="position:absolute;margin-left:70.865997pt;margin-top:191.216919pt;width:179.75pt;height:.1pt;mso-position-horizontal-relative:page;mso-position-vertical-relative:paragraph;z-index:-15726592;mso-wrap-distance-left:0;mso-wrap-distance-right:0" id="docshape6" coordorigin="1417,3824" coordsize="3595,0" path="m1417,3824l5012,3824e" filled="false" stroked="true" strokeweight=".398pt" strokecolor="#000000">
            <v:path arrowok="t"/>
            <v:stroke dashstyle="solid"/>
            <w10:wrap type="topAndBottom"/>
          </v:shape>
        </w:pict>
      </w:r>
      <w:r>
        <w:rPr/>
        <w:t>As discussed, military strength and the state’s capacity for coercion is an important variable for examining</w:t>
      </w:r>
      <w:r>
        <w:rPr>
          <w:spacing w:val="-7"/>
        </w:rPr>
        <w:t> </w:t>
      </w:r>
      <w:r>
        <w:rPr/>
        <w:t>conflict</w:t>
      </w:r>
      <w:r>
        <w:rPr>
          <w:spacing w:val="-7"/>
        </w:rPr>
        <w:t> </w:t>
      </w:r>
      <w:r>
        <w:rPr/>
        <w:t>intensity.</w:t>
      </w:r>
      <w:r>
        <w:rPr>
          <w:spacing w:val="15"/>
        </w:rPr>
        <w:t> </w:t>
      </w:r>
      <w:r>
        <w:rPr/>
        <w:t>However,</w:t>
      </w:r>
      <w:r>
        <w:rPr>
          <w:spacing w:val="-6"/>
        </w:rPr>
        <w:t> </w:t>
      </w:r>
      <w:r>
        <w:rPr/>
        <w:t>how</w:t>
      </w:r>
      <w:r>
        <w:rPr>
          <w:spacing w:val="-7"/>
        </w:rPr>
        <w:t> </w:t>
      </w:r>
      <w:r>
        <w:rPr/>
        <w:t>fluctuating</w:t>
      </w:r>
      <w:r>
        <w:rPr>
          <w:spacing w:val="-7"/>
        </w:rPr>
        <w:t> </w:t>
      </w:r>
      <w:r>
        <w:rPr/>
        <w:t>oil</w:t>
      </w:r>
      <w:r>
        <w:rPr>
          <w:spacing w:val="-7"/>
        </w:rPr>
        <w:t> </w:t>
      </w:r>
      <w:r>
        <w:rPr/>
        <w:t>prices</w:t>
      </w:r>
      <w:r>
        <w:rPr>
          <w:spacing w:val="-7"/>
        </w:rPr>
        <w:t> </w:t>
      </w:r>
      <w:r>
        <w:rPr/>
        <w:t>impact</w:t>
      </w:r>
      <w:r>
        <w:rPr>
          <w:spacing w:val="-7"/>
        </w:rPr>
        <w:t> </w:t>
      </w:r>
      <w:r>
        <w:rPr/>
        <w:t>oil-dependent</w:t>
      </w:r>
      <w:r>
        <w:rPr>
          <w:spacing w:val="-7"/>
        </w:rPr>
        <w:t> </w:t>
      </w:r>
      <w:r>
        <w:rPr/>
        <w:t>states’</w:t>
      </w:r>
      <w:r>
        <w:rPr>
          <w:spacing w:val="-7"/>
        </w:rPr>
        <w:t> </w:t>
      </w:r>
      <w:r>
        <w:rPr/>
        <w:t>coercive capacity is still an open question.</w:t>
      </w:r>
      <w:r>
        <w:rPr>
          <w:spacing w:val="35"/>
        </w:rPr>
        <w:t> </w:t>
      </w:r>
      <w:r>
        <w:rPr/>
        <w:t>Revenue reflects the ability of the state to fund operations, namely operations relevant to the conflict, that are important to the course of conflict.</w:t>
      </w:r>
      <w:r>
        <w:rPr>
          <w:spacing w:val="40"/>
        </w:rPr>
        <w:t> </w:t>
      </w:r>
      <w:r>
        <w:rPr/>
        <w:t>Scholarship on the</w:t>
      </w:r>
      <w:r>
        <w:rPr>
          <w:spacing w:val="80"/>
        </w:rPr>
        <w:t> </w:t>
      </w:r>
      <w:r>
        <w:rPr/>
        <w:t>link between decreasing oil prices and shrinking military expenditures has been mixed, but generally favors a positive correlation.</w:t>
      </w:r>
      <w:r>
        <w:rPr>
          <w:spacing w:val="32"/>
        </w:rPr>
        <w:t> </w:t>
      </w:r>
      <w:r>
        <w:rPr/>
        <w:t>Military expenditures were found to be inelastic relative to variations in oil revenues in one study of five major oil producing states between 1997-2007</w:t>
      </w:r>
      <w:r>
        <w:rPr>
          <w:rFonts w:ascii="Century Gothic" w:hAnsi="Century Gothic"/>
          <w:vertAlign w:val="superscript"/>
        </w:rPr>
        <w:t>31</w:t>
      </w:r>
      <w:r>
        <w:rPr>
          <w:vertAlign w:val="baseline"/>
        </w:rPr>
        <w:t>.</w:t>
      </w:r>
      <w:r>
        <w:rPr>
          <w:spacing w:val="40"/>
          <w:vertAlign w:val="baseline"/>
        </w:rPr>
        <w:t> </w:t>
      </w:r>
      <w:r>
        <w:rPr>
          <w:vertAlign w:val="baseline"/>
        </w:rPr>
        <w:t>Likewise, a similar analysis of Gulf Cooperation Council (GCC) states found a negative correlation between oil rents and military</w:t>
      </w:r>
      <w:r>
        <w:rPr>
          <w:spacing w:val="-2"/>
          <w:vertAlign w:val="baseline"/>
        </w:rPr>
        <w:t> </w:t>
      </w:r>
      <w:r>
        <w:rPr>
          <w:vertAlign w:val="baseline"/>
        </w:rPr>
        <w:t>expenditures.</w:t>
      </w:r>
      <w:r>
        <w:rPr>
          <w:rFonts w:ascii="Century Gothic" w:hAnsi="Century Gothic"/>
          <w:vertAlign w:val="superscript"/>
        </w:rPr>
        <w:t>32</w:t>
      </w:r>
      <w:r>
        <w:rPr>
          <w:rFonts w:ascii="Century Gothic" w:hAnsi="Century Gothic"/>
          <w:vertAlign w:val="baseline"/>
        </w:rPr>
        <w:t> </w:t>
      </w:r>
      <w:r>
        <w:rPr>
          <w:vertAlign w:val="baseline"/>
        </w:rPr>
        <w:t>However,</w:t>
      </w:r>
      <w:r>
        <w:rPr>
          <w:spacing w:val="-2"/>
          <w:vertAlign w:val="baseline"/>
        </w:rPr>
        <w:t> </w:t>
      </w:r>
      <w:r>
        <w:rPr>
          <w:vertAlign w:val="baseline"/>
        </w:rPr>
        <w:t>this</w:t>
      </w:r>
      <w:r>
        <w:rPr>
          <w:spacing w:val="-2"/>
          <w:vertAlign w:val="baseline"/>
        </w:rPr>
        <w:t> </w:t>
      </w:r>
      <w:r>
        <w:rPr>
          <w:vertAlign w:val="baseline"/>
        </w:rPr>
        <w:t>effect</w:t>
      </w:r>
      <w:r>
        <w:rPr>
          <w:spacing w:val="-2"/>
          <w:vertAlign w:val="baseline"/>
        </w:rPr>
        <w:t> </w:t>
      </w:r>
      <w:r>
        <w:rPr>
          <w:vertAlign w:val="baseline"/>
        </w:rPr>
        <w:t>was</w:t>
      </w:r>
      <w:r>
        <w:rPr>
          <w:spacing w:val="-2"/>
          <w:vertAlign w:val="baseline"/>
        </w:rPr>
        <w:t> </w:t>
      </w:r>
      <w:r>
        <w:rPr>
          <w:vertAlign w:val="baseline"/>
        </w:rPr>
        <w:t>reversed</w:t>
      </w:r>
      <w:r>
        <w:rPr>
          <w:spacing w:val="-2"/>
          <w:vertAlign w:val="baseline"/>
        </w:rPr>
        <w:t> </w:t>
      </w:r>
      <w:r>
        <w:rPr>
          <w:vertAlign w:val="baseline"/>
        </w:rPr>
        <w:t>in</w:t>
      </w:r>
      <w:r>
        <w:rPr>
          <w:spacing w:val="-2"/>
          <w:vertAlign w:val="baseline"/>
        </w:rPr>
        <w:t> </w:t>
      </w:r>
      <w:r>
        <w:rPr>
          <w:vertAlign w:val="baseline"/>
        </w:rPr>
        <w:t>non-GCC</w:t>
      </w:r>
      <w:r>
        <w:rPr>
          <w:spacing w:val="-2"/>
          <w:vertAlign w:val="baseline"/>
        </w:rPr>
        <w:t> </w:t>
      </w:r>
      <w:r>
        <w:rPr>
          <w:vertAlign w:val="baseline"/>
        </w:rPr>
        <w:t>Middle</w:t>
      </w:r>
      <w:r>
        <w:rPr>
          <w:spacing w:val="-2"/>
          <w:vertAlign w:val="baseline"/>
        </w:rPr>
        <w:t> </w:t>
      </w:r>
      <w:r>
        <w:rPr>
          <w:vertAlign w:val="baseline"/>
        </w:rPr>
        <w:t>East</w:t>
      </w:r>
      <w:r>
        <w:rPr>
          <w:spacing w:val="-2"/>
          <w:vertAlign w:val="baseline"/>
        </w:rPr>
        <w:t> </w:t>
      </w:r>
      <w:r>
        <w:rPr>
          <w:vertAlign w:val="baseline"/>
        </w:rPr>
        <w:t>and</w:t>
      </w:r>
      <w:r>
        <w:rPr>
          <w:spacing w:val="-2"/>
          <w:vertAlign w:val="baseline"/>
        </w:rPr>
        <w:t> </w:t>
      </w:r>
      <w:r>
        <w:rPr>
          <w:vertAlign w:val="baseline"/>
        </w:rPr>
        <w:t>North</w:t>
      </w:r>
      <w:r>
        <w:rPr>
          <w:spacing w:val="-2"/>
          <w:vertAlign w:val="baseline"/>
        </w:rPr>
        <w:t> </w:t>
      </w:r>
      <w:r>
        <w:rPr>
          <w:vertAlign w:val="baseline"/>
        </w:rPr>
        <w:t>African (MENA) states in the same study.</w:t>
      </w:r>
      <w:r>
        <w:rPr>
          <w:spacing w:val="40"/>
          <w:vertAlign w:val="baseline"/>
        </w:rPr>
        <w:t> </w:t>
      </w:r>
      <w:r>
        <w:rPr>
          <w:vertAlign w:val="baseline"/>
        </w:rPr>
        <w:t>The study argued that corruption plays a mediating role between</w:t>
      </w:r>
      <w:r>
        <w:rPr>
          <w:spacing w:val="40"/>
          <w:vertAlign w:val="baseline"/>
        </w:rPr>
        <w:t> </w:t>
      </w:r>
      <w:r>
        <w:rPr>
          <w:vertAlign w:val="baseline"/>
        </w:rPr>
        <w:t>oil rents and military spending, with oil having a larger, more positive impact on military spending in polities</w:t>
      </w:r>
      <w:r>
        <w:rPr>
          <w:spacing w:val="9"/>
          <w:vertAlign w:val="baseline"/>
        </w:rPr>
        <w:t> </w:t>
      </w:r>
      <w:r>
        <w:rPr>
          <w:vertAlign w:val="baseline"/>
        </w:rPr>
        <w:t>which</w:t>
      </w:r>
      <w:r>
        <w:rPr>
          <w:spacing w:val="9"/>
          <w:vertAlign w:val="baseline"/>
        </w:rPr>
        <w:t> </w:t>
      </w:r>
      <w:r>
        <w:rPr>
          <w:vertAlign w:val="baseline"/>
        </w:rPr>
        <w:t>are</w:t>
      </w:r>
      <w:r>
        <w:rPr>
          <w:spacing w:val="9"/>
          <w:vertAlign w:val="baseline"/>
        </w:rPr>
        <w:t> </w:t>
      </w:r>
      <w:r>
        <w:rPr>
          <w:vertAlign w:val="baseline"/>
        </w:rPr>
        <w:t>more</w:t>
      </w:r>
      <w:r>
        <w:rPr>
          <w:spacing w:val="9"/>
          <w:vertAlign w:val="baseline"/>
        </w:rPr>
        <w:t> </w:t>
      </w:r>
      <w:r>
        <w:rPr>
          <w:vertAlign w:val="baseline"/>
        </w:rPr>
        <w:t>corrupt.</w:t>
      </w:r>
      <w:r>
        <w:rPr>
          <w:spacing w:val="47"/>
          <w:vertAlign w:val="baseline"/>
        </w:rPr>
        <w:t> </w:t>
      </w:r>
      <w:r>
        <w:rPr>
          <w:vertAlign w:val="baseline"/>
        </w:rPr>
        <w:t>This</w:t>
      </w:r>
      <w:r>
        <w:rPr>
          <w:spacing w:val="9"/>
          <w:vertAlign w:val="baseline"/>
        </w:rPr>
        <w:t> </w:t>
      </w:r>
      <w:r>
        <w:rPr>
          <w:vertAlign w:val="baseline"/>
        </w:rPr>
        <w:t>finding</w:t>
      </w:r>
      <w:r>
        <w:rPr>
          <w:spacing w:val="9"/>
          <w:vertAlign w:val="baseline"/>
        </w:rPr>
        <w:t> </w:t>
      </w:r>
      <w:r>
        <w:rPr>
          <w:vertAlign w:val="baseline"/>
        </w:rPr>
        <w:t>is</w:t>
      </w:r>
      <w:r>
        <w:rPr>
          <w:spacing w:val="10"/>
          <w:vertAlign w:val="baseline"/>
        </w:rPr>
        <w:t> </w:t>
      </w:r>
      <w:r>
        <w:rPr>
          <w:vertAlign w:val="baseline"/>
        </w:rPr>
        <w:t>also</w:t>
      </w:r>
      <w:r>
        <w:rPr>
          <w:spacing w:val="10"/>
          <w:vertAlign w:val="baseline"/>
        </w:rPr>
        <w:t> </w:t>
      </w:r>
      <w:r>
        <w:rPr>
          <w:vertAlign w:val="baseline"/>
        </w:rPr>
        <w:t>reinforced</w:t>
      </w:r>
      <w:r>
        <w:rPr>
          <w:spacing w:val="9"/>
          <w:vertAlign w:val="baseline"/>
        </w:rPr>
        <w:t> </w:t>
      </w:r>
      <w:r>
        <w:rPr>
          <w:vertAlign w:val="baseline"/>
        </w:rPr>
        <w:t>by</w:t>
      </w:r>
      <w:r>
        <w:rPr>
          <w:spacing w:val="10"/>
          <w:vertAlign w:val="baseline"/>
        </w:rPr>
        <w:t> </w:t>
      </w:r>
      <w:r>
        <w:rPr>
          <w:vertAlign w:val="baseline"/>
        </w:rPr>
        <w:t>work</w:t>
      </w:r>
      <w:r>
        <w:rPr>
          <w:spacing w:val="9"/>
          <w:vertAlign w:val="baseline"/>
        </w:rPr>
        <w:t> </w:t>
      </w:r>
      <w:r>
        <w:rPr>
          <w:vertAlign w:val="baseline"/>
        </w:rPr>
        <w:t>linking</w:t>
      </w:r>
      <w:r>
        <w:rPr>
          <w:spacing w:val="9"/>
          <w:vertAlign w:val="baseline"/>
        </w:rPr>
        <w:t> </w:t>
      </w:r>
      <w:r>
        <w:rPr>
          <w:vertAlign w:val="baseline"/>
        </w:rPr>
        <w:t>higher</w:t>
      </w:r>
      <w:r>
        <w:rPr>
          <w:spacing w:val="10"/>
          <w:vertAlign w:val="baseline"/>
        </w:rPr>
        <w:t> </w:t>
      </w:r>
      <w:r>
        <w:rPr>
          <w:vertAlign w:val="baseline"/>
        </w:rPr>
        <w:t>oil</w:t>
      </w:r>
      <w:r>
        <w:rPr>
          <w:spacing w:val="9"/>
          <w:vertAlign w:val="baseline"/>
        </w:rPr>
        <w:t> </w:t>
      </w:r>
      <w:r>
        <w:rPr>
          <w:vertAlign w:val="baseline"/>
        </w:rPr>
        <w:t>rents</w:t>
      </w:r>
      <w:r>
        <w:rPr>
          <w:spacing w:val="10"/>
          <w:vertAlign w:val="baseline"/>
        </w:rPr>
        <w:t> </w:t>
      </w:r>
      <w:r>
        <w:rPr>
          <w:spacing w:val="-4"/>
          <w:vertAlign w:val="baseline"/>
        </w:rPr>
        <w:t>with</w:t>
      </w:r>
    </w:p>
    <w:p>
      <w:pPr>
        <w:spacing w:before="34"/>
        <w:ind w:left="266" w:right="0" w:firstLine="0"/>
        <w:jc w:val="left"/>
        <w:rPr>
          <w:rFonts w:ascii="Bookman Old Style"/>
          <w:b w:val="0"/>
          <w:sz w:val="16"/>
        </w:rPr>
      </w:pPr>
      <w:r>
        <w:rPr>
          <w:rFonts w:ascii="Bookman Old Style"/>
          <w:b w:val="0"/>
          <w:sz w:val="16"/>
          <w:vertAlign w:val="superscript"/>
        </w:rPr>
        <w:t>24</w:t>
      </w:r>
      <w:r>
        <w:rPr>
          <w:rFonts w:ascii="Bookman Old Style"/>
          <w:b w:val="0"/>
          <w:sz w:val="16"/>
          <w:vertAlign w:val="baseline"/>
        </w:rPr>
        <w:t>Hendrix</w:t>
      </w:r>
      <w:r>
        <w:rPr>
          <w:rFonts w:ascii="Bookman Old Style"/>
          <w:b w:val="0"/>
          <w:spacing w:val="-3"/>
          <w:sz w:val="16"/>
          <w:vertAlign w:val="baseline"/>
        </w:rPr>
        <w:t> </w:t>
      </w:r>
      <w:r>
        <w:rPr>
          <w:rFonts w:ascii="Bookman Old Style"/>
          <w:b w:val="0"/>
          <w:spacing w:val="-2"/>
          <w:sz w:val="16"/>
          <w:vertAlign w:val="baseline"/>
        </w:rPr>
        <w:t>(2010)</w:t>
      </w:r>
    </w:p>
    <w:p>
      <w:pPr>
        <w:spacing w:before="2"/>
        <w:ind w:left="117" w:right="422" w:firstLine="148"/>
        <w:jc w:val="left"/>
        <w:rPr>
          <w:rFonts w:ascii="Bookman Old Style"/>
          <w:b w:val="0"/>
          <w:sz w:val="16"/>
        </w:rPr>
      </w:pPr>
      <w:r>
        <w:rPr>
          <w:rFonts w:ascii="Bookman Old Style"/>
          <w:b w:val="0"/>
          <w:spacing w:val="-4"/>
          <w:sz w:val="16"/>
          <w:vertAlign w:val="superscript"/>
        </w:rPr>
        <w:t>25</w:t>
      </w:r>
      <w:r>
        <w:rPr>
          <w:rFonts w:ascii="Bookman Old Style"/>
          <w:b w:val="0"/>
          <w:spacing w:val="-4"/>
          <w:sz w:val="16"/>
          <w:vertAlign w:val="baseline"/>
        </w:rPr>
        <w:t>In general, the literature focuses on the determinants of conflict onset compared to how wars are fought.</w:t>
      </w:r>
      <w:r>
        <w:rPr>
          <w:rFonts w:ascii="Bookman Old Style"/>
          <w:b w:val="0"/>
          <w:spacing w:val="14"/>
          <w:sz w:val="16"/>
          <w:vertAlign w:val="baseline"/>
        </w:rPr>
        <w:t> </w:t>
      </w:r>
      <w:r>
        <w:rPr>
          <w:rFonts w:ascii="Bookman Old Style"/>
          <w:b w:val="0"/>
          <w:spacing w:val="-4"/>
          <w:sz w:val="16"/>
          <w:vertAlign w:val="baseline"/>
        </w:rPr>
        <w:t>See Lu and </w:t>
      </w:r>
      <w:r>
        <w:rPr>
          <w:rFonts w:ascii="Bookman Old Style"/>
          <w:b w:val="0"/>
          <w:sz w:val="16"/>
          <w:vertAlign w:val="baseline"/>
        </w:rPr>
        <w:t>Thies (2011); Balcells and Kalyvas (2014)</w:t>
      </w:r>
    </w:p>
    <w:p>
      <w:pPr>
        <w:spacing w:before="4"/>
        <w:ind w:left="266" w:right="0" w:firstLine="0"/>
        <w:jc w:val="left"/>
        <w:rPr>
          <w:rFonts w:ascii="Bookman Old Style"/>
          <w:b w:val="0"/>
          <w:sz w:val="16"/>
        </w:rPr>
      </w:pPr>
      <w:r>
        <w:rPr>
          <w:rFonts w:ascii="Bookman Old Style"/>
          <w:b w:val="0"/>
          <w:sz w:val="16"/>
          <w:vertAlign w:val="superscript"/>
        </w:rPr>
        <w:t>26</w:t>
      </w:r>
      <w:r>
        <w:rPr>
          <w:rFonts w:ascii="Bookman Old Style"/>
          <w:b w:val="0"/>
          <w:sz w:val="16"/>
          <w:vertAlign w:val="baseline"/>
        </w:rPr>
        <w:t>Lacina</w:t>
      </w:r>
      <w:r>
        <w:rPr>
          <w:rFonts w:ascii="Bookman Old Style"/>
          <w:b w:val="0"/>
          <w:spacing w:val="3"/>
          <w:sz w:val="16"/>
          <w:vertAlign w:val="baseline"/>
        </w:rPr>
        <w:t> </w:t>
      </w:r>
      <w:r>
        <w:rPr>
          <w:rFonts w:ascii="Bookman Old Style"/>
          <w:b w:val="0"/>
          <w:spacing w:val="-2"/>
          <w:sz w:val="16"/>
          <w:vertAlign w:val="baseline"/>
        </w:rPr>
        <w:t>(2006).</w:t>
      </w:r>
    </w:p>
    <w:p>
      <w:pPr>
        <w:spacing w:before="2"/>
        <w:ind w:left="266" w:right="0" w:firstLine="0"/>
        <w:jc w:val="left"/>
        <w:rPr>
          <w:rFonts w:ascii="Bookman Old Style"/>
          <w:b w:val="0"/>
          <w:sz w:val="16"/>
        </w:rPr>
      </w:pPr>
      <w:r>
        <w:rPr>
          <w:rFonts w:ascii="Bookman Old Style"/>
          <w:b w:val="0"/>
          <w:sz w:val="16"/>
          <w:vertAlign w:val="superscript"/>
        </w:rPr>
        <w:t>27</w:t>
      </w:r>
      <w:r>
        <w:rPr>
          <w:rFonts w:ascii="Bookman Old Style"/>
          <w:b w:val="0"/>
          <w:sz w:val="16"/>
          <w:vertAlign w:val="baseline"/>
        </w:rPr>
        <w:t>Lu</w:t>
      </w:r>
      <w:r>
        <w:rPr>
          <w:rFonts w:ascii="Bookman Old Style"/>
          <w:b w:val="0"/>
          <w:spacing w:val="-12"/>
          <w:sz w:val="16"/>
          <w:vertAlign w:val="baseline"/>
        </w:rPr>
        <w:t> </w:t>
      </w:r>
      <w:r>
        <w:rPr>
          <w:rFonts w:ascii="Bookman Old Style"/>
          <w:b w:val="0"/>
          <w:sz w:val="16"/>
          <w:vertAlign w:val="baseline"/>
        </w:rPr>
        <w:t>and</w:t>
      </w:r>
      <w:r>
        <w:rPr>
          <w:rFonts w:ascii="Bookman Old Style"/>
          <w:b w:val="0"/>
          <w:spacing w:val="-11"/>
          <w:sz w:val="16"/>
          <w:vertAlign w:val="baseline"/>
        </w:rPr>
        <w:t> </w:t>
      </w:r>
      <w:r>
        <w:rPr>
          <w:rFonts w:ascii="Bookman Old Style"/>
          <w:b w:val="0"/>
          <w:sz w:val="16"/>
          <w:vertAlign w:val="baseline"/>
        </w:rPr>
        <w:t>Thies</w:t>
      </w:r>
      <w:r>
        <w:rPr>
          <w:rFonts w:ascii="Bookman Old Style"/>
          <w:b w:val="0"/>
          <w:spacing w:val="-11"/>
          <w:sz w:val="16"/>
          <w:vertAlign w:val="baseline"/>
        </w:rPr>
        <w:t> </w:t>
      </w:r>
      <w:r>
        <w:rPr>
          <w:rFonts w:ascii="Bookman Old Style"/>
          <w:b w:val="0"/>
          <w:sz w:val="16"/>
          <w:vertAlign w:val="baseline"/>
        </w:rPr>
        <w:t>(2011);</w:t>
      </w:r>
      <w:r>
        <w:rPr>
          <w:rFonts w:ascii="Bookman Old Style"/>
          <w:b w:val="0"/>
          <w:spacing w:val="-11"/>
          <w:sz w:val="16"/>
          <w:vertAlign w:val="baseline"/>
        </w:rPr>
        <w:t> </w:t>
      </w:r>
      <w:r>
        <w:rPr>
          <w:rFonts w:ascii="Bookman Old Style"/>
          <w:b w:val="0"/>
          <w:sz w:val="16"/>
          <w:vertAlign w:val="baseline"/>
        </w:rPr>
        <w:t>Chaudoin</w:t>
      </w:r>
      <w:r>
        <w:rPr>
          <w:rFonts w:ascii="Bookman Old Style"/>
          <w:b w:val="0"/>
          <w:spacing w:val="-11"/>
          <w:sz w:val="16"/>
          <w:vertAlign w:val="baseline"/>
        </w:rPr>
        <w:t> </w:t>
      </w:r>
      <w:r>
        <w:rPr>
          <w:rFonts w:ascii="Bookman Old Style"/>
          <w:b w:val="0"/>
          <w:sz w:val="16"/>
          <w:vertAlign w:val="baseline"/>
        </w:rPr>
        <w:t>et</w:t>
      </w:r>
      <w:r>
        <w:rPr>
          <w:rFonts w:ascii="Bookman Old Style"/>
          <w:b w:val="0"/>
          <w:spacing w:val="-11"/>
          <w:sz w:val="16"/>
          <w:vertAlign w:val="baseline"/>
        </w:rPr>
        <w:t> </w:t>
      </w:r>
      <w:r>
        <w:rPr>
          <w:rFonts w:ascii="Bookman Old Style"/>
          <w:b w:val="0"/>
          <w:sz w:val="16"/>
          <w:vertAlign w:val="baseline"/>
        </w:rPr>
        <w:t>al.</w:t>
      </w:r>
      <w:r>
        <w:rPr>
          <w:rFonts w:ascii="Bookman Old Style"/>
          <w:b w:val="0"/>
          <w:spacing w:val="2"/>
          <w:sz w:val="16"/>
          <w:vertAlign w:val="baseline"/>
        </w:rPr>
        <w:t> </w:t>
      </w:r>
      <w:r>
        <w:rPr>
          <w:rFonts w:ascii="Bookman Old Style"/>
          <w:b w:val="0"/>
          <w:spacing w:val="-2"/>
          <w:sz w:val="16"/>
          <w:vertAlign w:val="baseline"/>
        </w:rPr>
        <w:t>(2017)</w:t>
      </w:r>
    </w:p>
    <w:p>
      <w:pPr>
        <w:spacing w:before="3"/>
        <w:ind w:left="266" w:right="0" w:firstLine="0"/>
        <w:jc w:val="left"/>
        <w:rPr>
          <w:rFonts w:ascii="Bookman Old Style"/>
          <w:b w:val="0"/>
          <w:sz w:val="16"/>
        </w:rPr>
      </w:pPr>
      <w:r>
        <w:rPr>
          <w:rFonts w:ascii="Bookman Old Style"/>
          <w:b w:val="0"/>
          <w:sz w:val="16"/>
          <w:vertAlign w:val="superscript"/>
        </w:rPr>
        <w:t>28</w:t>
      </w:r>
      <w:r>
        <w:rPr>
          <w:rFonts w:ascii="Bookman Old Style"/>
          <w:b w:val="0"/>
          <w:sz w:val="16"/>
          <w:vertAlign w:val="baseline"/>
        </w:rPr>
        <w:t>Lacina</w:t>
      </w:r>
      <w:r>
        <w:rPr>
          <w:rFonts w:ascii="Bookman Old Style"/>
          <w:b w:val="0"/>
          <w:spacing w:val="3"/>
          <w:sz w:val="16"/>
          <w:vertAlign w:val="baseline"/>
        </w:rPr>
        <w:t> </w:t>
      </w:r>
      <w:r>
        <w:rPr>
          <w:rFonts w:ascii="Bookman Old Style"/>
          <w:b w:val="0"/>
          <w:spacing w:val="-4"/>
          <w:sz w:val="16"/>
          <w:vertAlign w:val="baseline"/>
        </w:rPr>
        <w:t>2006</w:t>
      </w:r>
    </w:p>
    <w:p>
      <w:pPr>
        <w:spacing w:before="2"/>
        <w:ind w:left="266" w:right="0" w:firstLine="0"/>
        <w:jc w:val="left"/>
        <w:rPr>
          <w:rFonts w:ascii="Bookman Old Style"/>
          <w:b w:val="0"/>
          <w:sz w:val="16"/>
        </w:rPr>
      </w:pPr>
      <w:r>
        <w:rPr>
          <w:rFonts w:ascii="Bookman Old Style"/>
          <w:b w:val="0"/>
          <w:spacing w:val="-4"/>
          <w:sz w:val="16"/>
          <w:vertAlign w:val="superscript"/>
        </w:rPr>
        <w:t>29</w:t>
      </w:r>
      <w:r>
        <w:rPr>
          <w:rFonts w:ascii="Bookman Old Style"/>
          <w:b w:val="0"/>
          <w:spacing w:val="-4"/>
          <w:sz w:val="16"/>
          <w:vertAlign w:val="baseline"/>
        </w:rPr>
        <w:t>Caverley</w:t>
      </w:r>
      <w:r>
        <w:rPr>
          <w:rFonts w:ascii="Bookman Old Style"/>
          <w:b w:val="0"/>
          <w:spacing w:val="-3"/>
          <w:sz w:val="16"/>
          <w:vertAlign w:val="baseline"/>
        </w:rPr>
        <w:t> </w:t>
      </w:r>
      <w:r>
        <w:rPr>
          <w:rFonts w:ascii="Bookman Old Style"/>
          <w:b w:val="0"/>
          <w:spacing w:val="-4"/>
          <w:sz w:val="16"/>
          <w:vertAlign w:val="baseline"/>
        </w:rPr>
        <w:t>and</w:t>
      </w:r>
      <w:r>
        <w:rPr>
          <w:rFonts w:ascii="Bookman Old Style"/>
          <w:b w:val="0"/>
          <w:spacing w:val="-2"/>
          <w:sz w:val="16"/>
          <w:vertAlign w:val="baseline"/>
        </w:rPr>
        <w:t> </w:t>
      </w:r>
      <w:r>
        <w:rPr>
          <w:rFonts w:ascii="Bookman Old Style"/>
          <w:b w:val="0"/>
          <w:spacing w:val="-4"/>
          <w:sz w:val="16"/>
          <w:vertAlign w:val="baseline"/>
        </w:rPr>
        <w:t>Sechser</w:t>
      </w:r>
      <w:r>
        <w:rPr>
          <w:rFonts w:ascii="Bookman Old Style"/>
          <w:b w:val="0"/>
          <w:spacing w:val="-2"/>
          <w:sz w:val="16"/>
          <w:vertAlign w:val="baseline"/>
        </w:rPr>
        <w:t> </w:t>
      </w:r>
      <w:r>
        <w:rPr>
          <w:rFonts w:ascii="Bookman Old Style"/>
          <w:b w:val="0"/>
          <w:spacing w:val="-4"/>
          <w:sz w:val="16"/>
          <w:vertAlign w:val="baseline"/>
        </w:rPr>
        <w:t>(2017).</w:t>
      </w:r>
    </w:p>
    <w:p>
      <w:pPr>
        <w:spacing w:before="2"/>
        <w:ind w:left="266" w:right="0" w:firstLine="0"/>
        <w:jc w:val="left"/>
        <w:rPr>
          <w:rFonts w:ascii="Bookman Old Style"/>
          <w:b w:val="0"/>
          <w:sz w:val="16"/>
        </w:rPr>
      </w:pPr>
      <w:r>
        <w:rPr>
          <w:rFonts w:ascii="Bookman Old Style"/>
          <w:b w:val="0"/>
          <w:spacing w:val="-2"/>
          <w:sz w:val="16"/>
          <w:vertAlign w:val="superscript"/>
        </w:rPr>
        <w:t>30</w:t>
      </w:r>
      <w:r>
        <w:rPr>
          <w:rFonts w:ascii="Bookman Old Style"/>
          <w:b w:val="0"/>
          <w:spacing w:val="-2"/>
          <w:sz w:val="16"/>
          <w:vertAlign w:val="baseline"/>
        </w:rPr>
        <w:t>Lacina</w:t>
      </w:r>
      <w:r>
        <w:rPr>
          <w:rFonts w:ascii="Bookman Old Style"/>
          <w:b w:val="0"/>
          <w:spacing w:val="-10"/>
          <w:sz w:val="16"/>
          <w:vertAlign w:val="baseline"/>
        </w:rPr>
        <w:t> </w:t>
      </w:r>
      <w:r>
        <w:rPr>
          <w:rFonts w:ascii="Bookman Old Style"/>
          <w:b w:val="0"/>
          <w:spacing w:val="-2"/>
          <w:sz w:val="16"/>
          <w:vertAlign w:val="baseline"/>
        </w:rPr>
        <w:t>(2006),</w:t>
      </w:r>
      <w:r>
        <w:rPr>
          <w:rFonts w:ascii="Bookman Old Style"/>
          <w:b w:val="0"/>
          <w:spacing w:val="-9"/>
          <w:sz w:val="16"/>
          <w:vertAlign w:val="baseline"/>
        </w:rPr>
        <w:t> </w:t>
      </w:r>
      <w:r>
        <w:rPr>
          <w:rFonts w:ascii="Bookman Old Style"/>
          <w:b w:val="0"/>
          <w:spacing w:val="-2"/>
          <w:sz w:val="16"/>
          <w:vertAlign w:val="baseline"/>
        </w:rPr>
        <w:t>Hendrix</w:t>
      </w:r>
      <w:r>
        <w:rPr>
          <w:rFonts w:ascii="Bookman Old Style"/>
          <w:b w:val="0"/>
          <w:spacing w:val="-9"/>
          <w:sz w:val="16"/>
          <w:vertAlign w:val="baseline"/>
        </w:rPr>
        <w:t> </w:t>
      </w:r>
      <w:r>
        <w:rPr>
          <w:rFonts w:ascii="Bookman Old Style"/>
          <w:b w:val="0"/>
          <w:spacing w:val="-2"/>
          <w:sz w:val="16"/>
          <w:vertAlign w:val="baseline"/>
        </w:rPr>
        <w:t>(2010)</w:t>
      </w:r>
      <w:r>
        <w:rPr>
          <w:rFonts w:ascii="Bookman Old Style"/>
          <w:b w:val="0"/>
          <w:spacing w:val="-9"/>
          <w:sz w:val="16"/>
          <w:vertAlign w:val="baseline"/>
        </w:rPr>
        <w:t> </w:t>
      </w:r>
      <w:r>
        <w:rPr>
          <w:rFonts w:ascii="Bookman Old Style"/>
          <w:b w:val="0"/>
          <w:spacing w:val="-2"/>
          <w:sz w:val="16"/>
          <w:vertAlign w:val="baseline"/>
        </w:rPr>
        <w:t>and</w:t>
      </w:r>
      <w:r>
        <w:rPr>
          <w:rFonts w:ascii="Bookman Old Style"/>
          <w:b w:val="0"/>
          <w:spacing w:val="-9"/>
          <w:sz w:val="16"/>
          <w:vertAlign w:val="baseline"/>
        </w:rPr>
        <w:t> </w:t>
      </w:r>
      <w:r>
        <w:rPr>
          <w:rFonts w:ascii="Bookman Old Style"/>
          <w:b w:val="0"/>
          <w:spacing w:val="-2"/>
          <w:sz w:val="16"/>
          <w:vertAlign w:val="baseline"/>
        </w:rPr>
        <w:t>Balcells</w:t>
      </w:r>
      <w:r>
        <w:rPr>
          <w:rFonts w:ascii="Bookman Old Style"/>
          <w:b w:val="0"/>
          <w:spacing w:val="-9"/>
          <w:sz w:val="16"/>
          <w:vertAlign w:val="baseline"/>
        </w:rPr>
        <w:t> </w:t>
      </w:r>
      <w:r>
        <w:rPr>
          <w:rFonts w:ascii="Bookman Old Style"/>
          <w:b w:val="0"/>
          <w:spacing w:val="-2"/>
          <w:sz w:val="16"/>
          <w:vertAlign w:val="baseline"/>
        </w:rPr>
        <w:t>and</w:t>
      </w:r>
      <w:r>
        <w:rPr>
          <w:rFonts w:ascii="Bookman Old Style"/>
          <w:b w:val="0"/>
          <w:spacing w:val="-9"/>
          <w:sz w:val="16"/>
          <w:vertAlign w:val="baseline"/>
        </w:rPr>
        <w:t> </w:t>
      </w:r>
      <w:r>
        <w:rPr>
          <w:rFonts w:ascii="Bookman Old Style"/>
          <w:b w:val="0"/>
          <w:spacing w:val="-2"/>
          <w:sz w:val="16"/>
          <w:vertAlign w:val="baseline"/>
        </w:rPr>
        <w:t>Kalyvas</w:t>
      </w:r>
      <w:r>
        <w:rPr>
          <w:rFonts w:ascii="Bookman Old Style"/>
          <w:b w:val="0"/>
          <w:spacing w:val="-9"/>
          <w:sz w:val="16"/>
          <w:vertAlign w:val="baseline"/>
        </w:rPr>
        <w:t> </w:t>
      </w:r>
      <w:r>
        <w:rPr>
          <w:rFonts w:ascii="Bookman Old Style"/>
          <w:b w:val="0"/>
          <w:spacing w:val="-2"/>
          <w:sz w:val="16"/>
          <w:vertAlign w:val="baseline"/>
        </w:rPr>
        <w:t>(2014).</w:t>
      </w:r>
    </w:p>
    <w:p>
      <w:pPr>
        <w:spacing w:before="2"/>
        <w:ind w:left="266" w:right="0" w:firstLine="0"/>
        <w:jc w:val="left"/>
        <w:rPr>
          <w:rFonts w:ascii="Bookman Old Style"/>
          <w:b w:val="0"/>
          <w:sz w:val="16"/>
        </w:rPr>
      </w:pPr>
      <w:r>
        <w:rPr>
          <w:rFonts w:ascii="Bookman Old Style"/>
          <w:b w:val="0"/>
          <w:sz w:val="16"/>
          <w:vertAlign w:val="superscript"/>
        </w:rPr>
        <w:t>31</w:t>
      </w:r>
      <w:r>
        <w:rPr>
          <w:rFonts w:ascii="Bookman Old Style"/>
          <w:b w:val="0"/>
          <w:sz w:val="16"/>
          <w:vertAlign w:val="baseline"/>
        </w:rPr>
        <w:t>Chun</w:t>
      </w:r>
      <w:r>
        <w:rPr>
          <w:rFonts w:ascii="Bookman Old Style"/>
          <w:b w:val="0"/>
          <w:spacing w:val="-7"/>
          <w:sz w:val="16"/>
          <w:vertAlign w:val="baseline"/>
        </w:rPr>
        <w:t> </w:t>
      </w:r>
      <w:r>
        <w:rPr>
          <w:rFonts w:ascii="Bookman Old Style"/>
          <w:b w:val="0"/>
          <w:spacing w:val="-2"/>
          <w:sz w:val="16"/>
          <w:vertAlign w:val="baseline"/>
        </w:rPr>
        <w:t>(2010)</w:t>
      </w:r>
    </w:p>
    <w:p>
      <w:pPr>
        <w:spacing w:before="3"/>
        <w:ind w:left="266" w:right="0" w:firstLine="0"/>
        <w:jc w:val="left"/>
        <w:rPr>
          <w:rFonts w:ascii="Bookman Old Style" w:hAnsi="Bookman Old Style"/>
          <w:b w:val="0"/>
          <w:sz w:val="16"/>
        </w:rPr>
      </w:pPr>
      <w:r>
        <w:rPr>
          <w:rFonts w:ascii="Bookman Old Style" w:hAnsi="Bookman Old Style"/>
          <w:b w:val="0"/>
          <w:spacing w:val="-8"/>
          <w:sz w:val="16"/>
          <w:vertAlign w:val="superscript"/>
        </w:rPr>
        <w:t>32</w:t>
      </w:r>
      <w:r>
        <w:rPr>
          <w:rFonts w:ascii="Bookman Old Style" w:hAnsi="Bookman Old Style"/>
          <w:b w:val="0"/>
          <w:spacing w:val="-8"/>
          <w:sz w:val="16"/>
          <w:vertAlign w:val="baseline"/>
        </w:rPr>
        <w:t>Erdo˘gan,</w:t>
      </w:r>
      <w:r>
        <w:rPr>
          <w:rFonts w:ascii="Bookman Old Style" w:hAnsi="Bookman Old Style"/>
          <w:b w:val="0"/>
          <w:spacing w:val="5"/>
          <w:sz w:val="16"/>
          <w:vertAlign w:val="baseline"/>
        </w:rPr>
        <w:t> </w:t>
      </w:r>
      <w:r>
        <w:rPr>
          <w:rFonts w:ascii="Bookman Old Style" w:hAnsi="Bookman Old Style"/>
          <w:b w:val="0"/>
          <w:spacing w:val="-8"/>
          <w:sz w:val="16"/>
          <w:vertAlign w:val="baseline"/>
        </w:rPr>
        <w:t>C¸</w:t>
      </w:r>
      <w:r>
        <w:rPr>
          <w:rFonts w:ascii="Bookman Old Style" w:hAnsi="Bookman Old Style"/>
          <w:b w:val="0"/>
          <w:spacing w:val="-28"/>
          <w:sz w:val="16"/>
          <w:vertAlign w:val="baseline"/>
        </w:rPr>
        <w:t> </w:t>
      </w:r>
      <w:r>
        <w:rPr>
          <w:rFonts w:ascii="Bookman Old Style" w:hAnsi="Bookman Old Style"/>
          <w:b w:val="0"/>
          <w:spacing w:val="-8"/>
          <w:sz w:val="16"/>
          <w:vertAlign w:val="baseline"/>
        </w:rPr>
        <w:t>evik,</w:t>
      </w:r>
      <w:r>
        <w:rPr>
          <w:rFonts w:ascii="Bookman Old Style" w:hAnsi="Bookman Old Style"/>
          <w:b w:val="0"/>
          <w:spacing w:val="6"/>
          <w:sz w:val="16"/>
          <w:vertAlign w:val="baseline"/>
        </w:rPr>
        <w:t> </w:t>
      </w:r>
      <w:r>
        <w:rPr>
          <w:rFonts w:ascii="Bookman Old Style" w:hAnsi="Bookman Old Style"/>
          <w:b w:val="0"/>
          <w:spacing w:val="-8"/>
          <w:sz w:val="16"/>
          <w:vertAlign w:val="baseline"/>
        </w:rPr>
        <w:t>Gedikli</w:t>
      </w:r>
      <w:r>
        <w:rPr>
          <w:rFonts w:ascii="Bookman Old Style" w:hAnsi="Bookman Old Style"/>
          <w:b w:val="0"/>
          <w:spacing w:val="5"/>
          <w:sz w:val="16"/>
          <w:vertAlign w:val="baseline"/>
        </w:rPr>
        <w:t> </w:t>
      </w:r>
      <w:r>
        <w:rPr>
          <w:rFonts w:ascii="Bookman Old Style" w:hAnsi="Bookman Old Style"/>
          <w:b w:val="0"/>
          <w:spacing w:val="-8"/>
          <w:sz w:val="16"/>
          <w:vertAlign w:val="baseline"/>
        </w:rPr>
        <w:t>(2020).</w:t>
      </w:r>
    </w:p>
    <w:p>
      <w:pPr>
        <w:spacing w:after="0"/>
        <w:jc w:val="left"/>
        <w:rPr>
          <w:rFonts w:ascii="Bookman Old Style" w:hAnsi="Bookman Old Style"/>
          <w:sz w:val="16"/>
        </w:rPr>
        <w:sectPr>
          <w:pgSz w:w="12240" w:h="15840"/>
          <w:pgMar w:header="0" w:footer="1252" w:top="1080" w:bottom="1440" w:left="1300" w:right="1200"/>
        </w:sectPr>
      </w:pPr>
    </w:p>
    <w:p>
      <w:pPr>
        <w:pStyle w:val="BodyText"/>
        <w:spacing w:line="292" w:lineRule="auto" w:before="52"/>
        <w:ind w:left="117" w:right="599"/>
        <w:rPr>
          <w:rFonts w:ascii="Century Gothic"/>
        </w:rPr>
      </w:pPr>
      <w:r>
        <w:rPr/>
        <w:t>greater</w:t>
      </w:r>
      <w:r>
        <w:rPr>
          <w:spacing w:val="13"/>
        </w:rPr>
        <w:t> </w:t>
      </w:r>
      <w:r>
        <w:rPr/>
        <w:t>military</w:t>
      </w:r>
      <w:r>
        <w:rPr>
          <w:spacing w:val="12"/>
        </w:rPr>
        <w:t> </w:t>
      </w:r>
      <w:r>
        <w:rPr/>
        <w:t>expenditures</w:t>
      </w:r>
      <w:r>
        <w:rPr>
          <w:spacing w:val="13"/>
        </w:rPr>
        <w:t> </w:t>
      </w:r>
      <w:r>
        <w:rPr/>
        <w:t>in</w:t>
      </w:r>
      <w:r>
        <w:rPr>
          <w:spacing w:val="13"/>
        </w:rPr>
        <w:t> </w:t>
      </w:r>
      <w:r>
        <w:rPr/>
        <w:t>MENA</w:t>
      </w:r>
      <w:r>
        <w:rPr>
          <w:spacing w:val="13"/>
        </w:rPr>
        <w:t> </w:t>
      </w:r>
      <w:r>
        <w:rPr/>
        <w:t>states</w:t>
      </w:r>
      <w:r>
        <w:rPr>
          <w:spacing w:val="13"/>
        </w:rPr>
        <w:t> </w:t>
      </w:r>
      <w:r>
        <w:rPr/>
        <w:t>by</w:t>
      </w:r>
      <w:r>
        <w:rPr>
          <w:spacing w:val="13"/>
        </w:rPr>
        <w:t> </w:t>
      </w:r>
      <w:r>
        <w:rPr/>
        <w:t>Ali</w:t>
      </w:r>
      <w:r>
        <w:rPr>
          <w:spacing w:val="12"/>
        </w:rPr>
        <w:t> </w:t>
      </w:r>
      <w:r>
        <w:rPr/>
        <w:t>&amp;</w:t>
      </w:r>
      <w:r>
        <w:rPr>
          <w:spacing w:val="13"/>
        </w:rPr>
        <w:t> </w:t>
      </w:r>
      <w:r>
        <w:rPr/>
        <w:t>Abdellatif</w:t>
      </w:r>
      <w:r>
        <w:rPr>
          <w:rFonts w:ascii="Century Gothic"/>
          <w:vertAlign w:val="superscript"/>
        </w:rPr>
        <w:t>33</w:t>
      </w:r>
      <w:r>
        <w:rPr>
          <w:rFonts w:ascii="Century Gothic"/>
          <w:spacing w:val="14"/>
          <w:vertAlign w:val="baseline"/>
        </w:rPr>
        <w:t> </w:t>
      </w:r>
      <w:r>
        <w:rPr>
          <w:vertAlign w:val="baseline"/>
        </w:rPr>
        <w:t>and</w:t>
      </w:r>
      <w:r>
        <w:rPr>
          <w:spacing w:val="13"/>
          <w:vertAlign w:val="baseline"/>
        </w:rPr>
        <w:t> </w:t>
      </w:r>
      <w:r>
        <w:rPr>
          <w:vertAlign w:val="baseline"/>
        </w:rPr>
        <w:t>others.</w:t>
      </w:r>
      <w:r>
        <w:rPr>
          <w:rFonts w:ascii="Century Gothic"/>
          <w:vertAlign w:val="superscript"/>
        </w:rPr>
        <w:t>34</w:t>
      </w:r>
      <w:r>
        <w:rPr>
          <w:rFonts w:ascii="Century Gothic"/>
          <w:spacing w:val="40"/>
          <w:vertAlign w:val="baseline"/>
        </w:rPr>
        <w:t> </w:t>
      </w:r>
      <w:r>
        <w:rPr>
          <w:vertAlign w:val="baseline"/>
        </w:rPr>
        <w:t>Other</w:t>
      </w:r>
      <w:r>
        <w:rPr>
          <w:spacing w:val="13"/>
          <w:vertAlign w:val="baseline"/>
        </w:rPr>
        <w:t> </w:t>
      </w:r>
      <w:r>
        <w:rPr>
          <w:vertAlign w:val="baseline"/>
        </w:rPr>
        <w:t>studies</w:t>
      </w:r>
      <w:r>
        <w:rPr>
          <w:spacing w:val="12"/>
          <w:vertAlign w:val="baseline"/>
        </w:rPr>
        <w:t> </w:t>
      </w:r>
      <w:r>
        <w:rPr>
          <w:vertAlign w:val="baseline"/>
        </w:rPr>
        <w:t>posit a positive relationship between oil rents and military spending in GCC states as well.</w:t>
      </w:r>
      <w:r>
        <w:rPr>
          <w:rFonts w:ascii="Century Gothic"/>
          <w:vertAlign w:val="superscript"/>
        </w:rPr>
        <w:t>35</w:t>
      </w:r>
    </w:p>
    <w:p>
      <w:pPr>
        <w:pStyle w:val="BodyText"/>
        <w:spacing w:line="297" w:lineRule="auto" w:before="159"/>
        <w:ind w:left="117" w:right="633" w:firstLine="298"/>
        <w:jc w:val="both"/>
        <w:rPr>
          <w:rFonts w:ascii="Century Gothic"/>
        </w:rPr>
      </w:pPr>
      <w:r>
        <w:rPr/>
        <w:t>These findings of a positive relationship have been substantiated by a number of studies.</w:t>
      </w:r>
      <w:r>
        <w:rPr>
          <w:spacing w:val="27"/>
        </w:rPr>
        <w:t> </w:t>
      </w:r>
      <w:r>
        <w:rPr/>
        <w:t>Scholars </w:t>
      </w:r>
      <w:r>
        <w:rPr>
          <w:spacing w:val="-2"/>
        </w:rPr>
        <w:t>have identified a similar positive relationship between oil rents/revenues and military spending in Chad </w:t>
      </w:r>
      <w:r>
        <w:rPr>
          <w:rFonts w:ascii="Century Gothic"/>
          <w:vertAlign w:val="superscript"/>
        </w:rPr>
        <w:t>36</w:t>
      </w:r>
      <w:r>
        <w:rPr>
          <w:vertAlign w:val="baseline"/>
        </w:rPr>
        <w:t>, Algeria </w:t>
      </w:r>
      <w:r>
        <w:rPr>
          <w:rFonts w:ascii="Century Gothic"/>
          <w:vertAlign w:val="superscript"/>
        </w:rPr>
        <w:t>37</w:t>
      </w:r>
      <w:r>
        <w:rPr>
          <w:vertAlign w:val="baseline"/>
        </w:rPr>
        <w:t>, and Iran.</w:t>
      </w:r>
      <w:r>
        <w:rPr>
          <w:rFonts w:ascii="Century Gothic"/>
          <w:vertAlign w:val="superscript"/>
        </w:rPr>
        <w:t>38</w:t>
      </w:r>
      <w:r>
        <w:rPr>
          <w:rFonts w:ascii="Century Gothic"/>
          <w:spacing w:val="35"/>
          <w:vertAlign w:val="baseline"/>
        </w:rPr>
        <w:t> </w:t>
      </w:r>
      <w:r>
        <w:rPr>
          <w:vertAlign w:val="baseline"/>
        </w:rPr>
        <w:t>Scholars have generally supported a positive correlation between oil wealth and</w:t>
      </w:r>
      <w:r>
        <w:rPr>
          <w:spacing w:val="-13"/>
          <w:vertAlign w:val="baseline"/>
        </w:rPr>
        <w:t> </w:t>
      </w:r>
      <w:r>
        <w:rPr>
          <w:vertAlign w:val="baseline"/>
        </w:rPr>
        <w:t>military</w:t>
      </w:r>
      <w:r>
        <w:rPr>
          <w:spacing w:val="-12"/>
          <w:vertAlign w:val="baseline"/>
        </w:rPr>
        <w:t> </w:t>
      </w:r>
      <w:r>
        <w:rPr>
          <w:vertAlign w:val="baseline"/>
        </w:rPr>
        <w:t>spending</w:t>
      </w:r>
      <w:r>
        <w:rPr>
          <w:spacing w:val="-12"/>
          <w:vertAlign w:val="baseline"/>
        </w:rPr>
        <w:t> </w:t>
      </w:r>
      <w:r>
        <w:rPr>
          <w:vertAlign w:val="baseline"/>
        </w:rPr>
        <w:t>in</w:t>
      </w:r>
      <w:r>
        <w:rPr>
          <w:spacing w:val="-12"/>
          <w:vertAlign w:val="baseline"/>
        </w:rPr>
        <w:t> </w:t>
      </w:r>
      <w:r>
        <w:rPr>
          <w:vertAlign w:val="baseline"/>
        </w:rPr>
        <w:t>non-democratic</w:t>
      </w:r>
      <w:r>
        <w:rPr>
          <w:spacing w:val="-12"/>
          <w:vertAlign w:val="baseline"/>
        </w:rPr>
        <w:t> </w:t>
      </w:r>
      <w:r>
        <w:rPr>
          <w:vertAlign w:val="baseline"/>
        </w:rPr>
        <w:t>countries.</w:t>
      </w:r>
      <w:r>
        <w:rPr>
          <w:rFonts w:ascii="Century Gothic"/>
          <w:vertAlign w:val="superscript"/>
        </w:rPr>
        <w:t>39</w:t>
      </w:r>
      <w:r>
        <w:rPr>
          <w:rFonts w:ascii="Century Gothic"/>
          <w:spacing w:val="-14"/>
          <w:vertAlign w:val="baseline"/>
        </w:rPr>
        <w:t> </w:t>
      </w:r>
      <w:r>
        <w:rPr>
          <w:vertAlign w:val="baseline"/>
        </w:rPr>
        <w:t>Various</w:t>
      </w:r>
      <w:r>
        <w:rPr>
          <w:spacing w:val="-12"/>
          <w:vertAlign w:val="baseline"/>
        </w:rPr>
        <w:t> </w:t>
      </w:r>
      <w:r>
        <w:rPr>
          <w:vertAlign w:val="baseline"/>
        </w:rPr>
        <w:t>causal</w:t>
      </w:r>
      <w:r>
        <w:rPr>
          <w:spacing w:val="-12"/>
          <w:vertAlign w:val="baseline"/>
        </w:rPr>
        <w:t> </w:t>
      </w:r>
      <w:r>
        <w:rPr>
          <w:vertAlign w:val="baseline"/>
        </w:rPr>
        <w:t>mechanisms</w:t>
      </w:r>
      <w:r>
        <w:rPr>
          <w:spacing w:val="-12"/>
          <w:vertAlign w:val="baseline"/>
        </w:rPr>
        <w:t> </w:t>
      </w:r>
      <w:r>
        <w:rPr>
          <w:vertAlign w:val="baseline"/>
        </w:rPr>
        <w:t>linking</w:t>
      </w:r>
      <w:r>
        <w:rPr>
          <w:spacing w:val="-12"/>
          <w:vertAlign w:val="baseline"/>
        </w:rPr>
        <w:t> </w:t>
      </w:r>
      <w:r>
        <w:rPr>
          <w:vertAlign w:val="baseline"/>
        </w:rPr>
        <w:t>oil</w:t>
      </w:r>
      <w:r>
        <w:rPr>
          <w:spacing w:val="-12"/>
          <w:vertAlign w:val="baseline"/>
        </w:rPr>
        <w:t> </w:t>
      </w:r>
      <w:r>
        <w:rPr>
          <w:vertAlign w:val="baseline"/>
        </w:rPr>
        <w:t>revenue</w:t>
      </w:r>
      <w:r>
        <w:rPr>
          <w:spacing w:val="-12"/>
          <w:vertAlign w:val="baseline"/>
        </w:rPr>
        <w:t> </w:t>
      </w:r>
      <w:r>
        <w:rPr>
          <w:vertAlign w:val="baseline"/>
        </w:rPr>
        <w:t>to military</w:t>
      </w:r>
      <w:r>
        <w:rPr>
          <w:spacing w:val="-5"/>
          <w:vertAlign w:val="baseline"/>
        </w:rPr>
        <w:t> </w:t>
      </w:r>
      <w:r>
        <w:rPr>
          <w:vertAlign w:val="baseline"/>
        </w:rPr>
        <w:t>spending</w:t>
      </w:r>
      <w:r>
        <w:rPr>
          <w:spacing w:val="-5"/>
          <w:vertAlign w:val="baseline"/>
        </w:rPr>
        <w:t> </w:t>
      </w:r>
      <w:r>
        <w:rPr>
          <w:vertAlign w:val="baseline"/>
        </w:rPr>
        <w:t>have</w:t>
      </w:r>
      <w:r>
        <w:rPr>
          <w:spacing w:val="-5"/>
          <w:vertAlign w:val="baseline"/>
        </w:rPr>
        <w:t> </w:t>
      </w:r>
      <w:r>
        <w:rPr>
          <w:vertAlign w:val="baseline"/>
        </w:rPr>
        <w:t>been</w:t>
      </w:r>
      <w:r>
        <w:rPr>
          <w:spacing w:val="-5"/>
          <w:vertAlign w:val="baseline"/>
        </w:rPr>
        <w:t> </w:t>
      </w:r>
      <w:r>
        <w:rPr>
          <w:vertAlign w:val="baseline"/>
        </w:rPr>
        <w:t>proposed</w:t>
      </w:r>
      <w:r>
        <w:rPr>
          <w:spacing w:val="-5"/>
          <w:vertAlign w:val="baseline"/>
        </w:rPr>
        <w:t> </w:t>
      </w:r>
      <w:r>
        <w:rPr>
          <w:vertAlign w:val="baseline"/>
        </w:rPr>
        <w:t>in</w:t>
      </w:r>
      <w:r>
        <w:rPr>
          <w:spacing w:val="-5"/>
          <w:vertAlign w:val="baseline"/>
        </w:rPr>
        <w:t> </w:t>
      </w:r>
      <w:r>
        <w:rPr>
          <w:vertAlign w:val="baseline"/>
        </w:rPr>
        <w:t>prior</w:t>
      </w:r>
      <w:r>
        <w:rPr>
          <w:spacing w:val="-5"/>
          <w:vertAlign w:val="baseline"/>
        </w:rPr>
        <w:t> </w:t>
      </w:r>
      <w:r>
        <w:rPr>
          <w:vertAlign w:val="baseline"/>
        </w:rPr>
        <w:t>literature</w:t>
      </w:r>
      <w:r>
        <w:rPr>
          <w:spacing w:val="-5"/>
          <w:vertAlign w:val="baseline"/>
        </w:rPr>
        <w:t> </w:t>
      </w:r>
      <w:r>
        <w:rPr>
          <w:vertAlign w:val="baseline"/>
        </w:rPr>
        <w:t>such</w:t>
      </w:r>
      <w:r>
        <w:rPr>
          <w:spacing w:val="-5"/>
          <w:vertAlign w:val="baseline"/>
        </w:rPr>
        <w:t> </w:t>
      </w:r>
      <w:r>
        <w:rPr>
          <w:vertAlign w:val="baseline"/>
        </w:rPr>
        <w:t>as</w:t>
      </w:r>
      <w:r>
        <w:rPr>
          <w:spacing w:val="-5"/>
          <w:vertAlign w:val="baseline"/>
        </w:rPr>
        <w:t> </w:t>
      </w:r>
      <w:r>
        <w:rPr>
          <w:vertAlign w:val="baseline"/>
        </w:rPr>
        <w:t>corruption</w:t>
      </w:r>
      <w:r>
        <w:rPr>
          <w:rFonts w:ascii="Century Gothic"/>
          <w:vertAlign w:val="superscript"/>
        </w:rPr>
        <w:t>40</w:t>
      </w:r>
      <w:r>
        <w:rPr>
          <w:vertAlign w:val="baseline"/>
        </w:rPr>
        <w:t>,</w:t>
      </w:r>
      <w:r>
        <w:rPr>
          <w:spacing w:val="-5"/>
          <w:vertAlign w:val="baseline"/>
        </w:rPr>
        <w:t> </w:t>
      </w:r>
      <w:r>
        <w:rPr>
          <w:vertAlign w:val="baseline"/>
        </w:rPr>
        <w:t>buying</w:t>
      </w:r>
      <w:r>
        <w:rPr>
          <w:spacing w:val="-5"/>
          <w:vertAlign w:val="baseline"/>
        </w:rPr>
        <w:t> </w:t>
      </w:r>
      <w:r>
        <w:rPr>
          <w:vertAlign w:val="baseline"/>
        </w:rPr>
        <w:t>the</w:t>
      </w:r>
      <w:r>
        <w:rPr>
          <w:spacing w:val="-5"/>
          <w:vertAlign w:val="baseline"/>
        </w:rPr>
        <w:t> </w:t>
      </w:r>
      <w:r>
        <w:rPr>
          <w:vertAlign w:val="baseline"/>
        </w:rPr>
        <w:t>loyalty</w:t>
      </w:r>
      <w:r>
        <w:rPr>
          <w:spacing w:val="-5"/>
          <w:vertAlign w:val="baseline"/>
        </w:rPr>
        <w:t> </w:t>
      </w:r>
      <w:r>
        <w:rPr>
          <w:vertAlign w:val="baseline"/>
        </w:rPr>
        <w:t>of</w:t>
      </w:r>
      <w:r>
        <w:rPr>
          <w:spacing w:val="-5"/>
          <w:vertAlign w:val="baseline"/>
        </w:rPr>
        <w:t> </w:t>
      </w:r>
      <w:r>
        <w:rPr>
          <w:vertAlign w:val="baseline"/>
        </w:rPr>
        <w:t>the military</w:t>
      </w:r>
      <w:r>
        <w:rPr>
          <w:rFonts w:ascii="Century Gothic"/>
          <w:vertAlign w:val="superscript"/>
        </w:rPr>
        <w:t>41</w:t>
      </w:r>
      <w:r>
        <w:rPr>
          <w:vertAlign w:val="baseline"/>
        </w:rPr>
        <w:t>, or a combination of these variables.</w:t>
      </w:r>
      <w:r>
        <w:rPr>
          <w:rFonts w:ascii="Century Gothic"/>
          <w:vertAlign w:val="superscript"/>
        </w:rPr>
        <w:t>42</w:t>
      </w:r>
    </w:p>
    <w:p>
      <w:pPr>
        <w:pStyle w:val="BodyText"/>
        <w:spacing w:line="316" w:lineRule="auto" w:before="155"/>
        <w:ind w:left="117" w:right="632" w:firstLine="298"/>
        <w:jc w:val="both"/>
      </w:pPr>
      <w:r>
        <w:rPr/>
        <w:t>In sum, it seems clear that positive resource shocks, such as those created in oil-reliant states by a significant and lasting increase in the price of oil, should often result in greater military expenditures. However, the literature contains gaps in our understanding of oil resources and conflict intensity, as well</w:t>
      </w:r>
      <w:r>
        <w:rPr>
          <w:spacing w:val="-13"/>
        </w:rPr>
        <w:t> </w:t>
      </w:r>
      <w:r>
        <w:rPr/>
        <w:t>as</w:t>
      </w:r>
      <w:r>
        <w:rPr>
          <w:spacing w:val="-12"/>
        </w:rPr>
        <w:t> </w:t>
      </w:r>
      <w:r>
        <w:rPr/>
        <w:t>unclear</w:t>
      </w:r>
      <w:r>
        <w:rPr>
          <w:spacing w:val="-12"/>
        </w:rPr>
        <w:t> </w:t>
      </w:r>
      <w:r>
        <w:rPr/>
        <w:t>mechanisms</w:t>
      </w:r>
      <w:r>
        <w:rPr>
          <w:spacing w:val="-12"/>
        </w:rPr>
        <w:t> </w:t>
      </w:r>
      <w:r>
        <w:rPr/>
        <w:t>surrounding</w:t>
      </w:r>
      <w:r>
        <w:rPr>
          <w:spacing w:val="-12"/>
        </w:rPr>
        <w:t> </w:t>
      </w:r>
      <w:r>
        <w:rPr/>
        <w:t>how</w:t>
      </w:r>
      <w:r>
        <w:rPr>
          <w:spacing w:val="-12"/>
        </w:rPr>
        <w:t> </w:t>
      </w:r>
      <w:r>
        <w:rPr/>
        <w:t>price</w:t>
      </w:r>
      <w:r>
        <w:rPr>
          <w:spacing w:val="-12"/>
        </w:rPr>
        <w:t> </w:t>
      </w:r>
      <w:r>
        <w:rPr/>
        <w:t>fluctuations</w:t>
      </w:r>
      <w:r>
        <w:rPr>
          <w:spacing w:val="-12"/>
        </w:rPr>
        <w:t> </w:t>
      </w:r>
      <w:r>
        <w:rPr/>
        <w:t>may</w:t>
      </w:r>
      <w:r>
        <w:rPr>
          <w:spacing w:val="-12"/>
        </w:rPr>
        <w:t> </w:t>
      </w:r>
      <w:r>
        <w:rPr/>
        <w:t>impact</w:t>
      </w:r>
      <w:r>
        <w:rPr>
          <w:spacing w:val="-12"/>
        </w:rPr>
        <w:t> </w:t>
      </w:r>
      <w:r>
        <w:rPr/>
        <w:t>this</w:t>
      </w:r>
      <w:r>
        <w:rPr>
          <w:spacing w:val="-12"/>
        </w:rPr>
        <w:t> </w:t>
      </w:r>
      <w:r>
        <w:rPr/>
        <w:t>relationship.</w:t>
      </w:r>
      <w:r>
        <w:rPr>
          <w:spacing w:val="-12"/>
        </w:rPr>
        <w:t> </w:t>
      </w:r>
      <w:r>
        <w:rPr/>
        <w:t>With</w:t>
      </w:r>
      <w:r>
        <w:rPr>
          <w:spacing w:val="-12"/>
        </w:rPr>
        <w:t> </w:t>
      </w:r>
      <w:r>
        <w:rPr/>
        <w:t>this study,</w:t>
      </w:r>
      <w:r>
        <w:rPr>
          <w:spacing w:val="-10"/>
        </w:rPr>
        <w:t> </w:t>
      </w:r>
      <w:r>
        <w:rPr/>
        <w:t>we</w:t>
      </w:r>
      <w:r>
        <w:rPr>
          <w:spacing w:val="-10"/>
        </w:rPr>
        <w:t> </w:t>
      </w:r>
      <w:r>
        <w:rPr/>
        <w:t>seek</w:t>
      </w:r>
      <w:r>
        <w:rPr>
          <w:spacing w:val="-10"/>
        </w:rPr>
        <w:t> </w:t>
      </w:r>
      <w:r>
        <w:rPr/>
        <w:t>to</w:t>
      </w:r>
      <w:r>
        <w:rPr>
          <w:spacing w:val="-10"/>
        </w:rPr>
        <w:t> </w:t>
      </w:r>
      <w:r>
        <w:rPr/>
        <w:t>clarify</w:t>
      </w:r>
      <w:r>
        <w:rPr>
          <w:spacing w:val="-10"/>
        </w:rPr>
        <w:t> </w:t>
      </w:r>
      <w:r>
        <w:rPr/>
        <w:t>one</w:t>
      </w:r>
      <w:r>
        <w:rPr>
          <w:spacing w:val="-10"/>
        </w:rPr>
        <w:t> </w:t>
      </w:r>
      <w:r>
        <w:rPr/>
        <w:t>mechanism</w:t>
      </w:r>
      <w:r>
        <w:rPr>
          <w:spacing w:val="-10"/>
        </w:rPr>
        <w:t> </w:t>
      </w:r>
      <w:r>
        <w:rPr/>
        <w:t>by</w:t>
      </w:r>
      <w:r>
        <w:rPr>
          <w:spacing w:val="-10"/>
        </w:rPr>
        <w:t> </w:t>
      </w:r>
      <w:r>
        <w:rPr/>
        <w:t>which</w:t>
      </w:r>
      <w:r>
        <w:rPr>
          <w:spacing w:val="-10"/>
        </w:rPr>
        <w:t> </w:t>
      </w:r>
      <w:r>
        <w:rPr/>
        <w:t>this</w:t>
      </w:r>
      <w:r>
        <w:rPr>
          <w:spacing w:val="-10"/>
        </w:rPr>
        <w:t> </w:t>
      </w:r>
      <w:r>
        <w:rPr/>
        <w:t>relationship</w:t>
      </w:r>
      <w:r>
        <w:rPr>
          <w:spacing w:val="-10"/>
        </w:rPr>
        <w:t> </w:t>
      </w:r>
      <w:r>
        <w:rPr/>
        <w:t>is</w:t>
      </w:r>
      <w:r>
        <w:rPr>
          <w:spacing w:val="-10"/>
        </w:rPr>
        <w:t> </w:t>
      </w:r>
      <w:r>
        <w:rPr/>
        <w:t>governed. Specifically,</w:t>
      </w:r>
      <w:r>
        <w:rPr>
          <w:spacing w:val="-10"/>
        </w:rPr>
        <w:t> </w:t>
      </w:r>
      <w:r>
        <w:rPr/>
        <w:t>we</w:t>
      </w:r>
      <w:r>
        <w:rPr>
          <w:spacing w:val="-10"/>
        </w:rPr>
        <w:t> </w:t>
      </w:r>
      <w:r>
        <w:rPr/>
        <w:t>suspect that</w:t>
      </w:r>
      <w:r>
        <w:rPr>
          <w:spacing w:val="-7"/>
        </w:rPr>
        <w:t> </w:t>
      </w:r>
      <w:r>
        <w:rPr/>
        <w:t>oil</w:t>
      </w:r>
      <w:r>
        <w:rPr>
          <w:spacing w:val="-7"/>
        </w:rPr>
        <w:t> </w:t>
      </w:r>
      <w:r>
        <w:rPr/>
        <w:t>revenues</w:t>
      </w:r>
      <w:r>
        <w:rPr>
          <w:spacing w:val="-7"/>
        </w:rPr>
        <w:t> </w:t>
      </w:r>
      <w:r>
        <w:rPr/>
        <w:t>support</w:t>
      </w:r>
      <w:r>
        <w:rPr>
          <w:spacing w:val="-7"/>
        </w:rPr>
        <w:t> </w:t>
      </w:r>
      <w:r>
        <w:rPr/>
        <w:t>military</w:t>
      </w:r>
      <w:r>
        <w:rPr>
          <w:spacing w:val="-7"/>
        </w:rPr>
        <w:t> </w:t>
      </w:r>
      <w:r>
        <w:rPr/>
        <w:t>spending,</w:t>
      </w:r>
      <w:r>
        <w:rPr>
          <w:spacing w:val="-7"/>
        </w:rPr>
        <w:t> </w:t>
      </w:r>
      <w:r>
        <w:rPr/>
        <w:t>and</w:t>
      </w:r>
      <w:r>
        <w:rPr>
          <w:spacing w:val="-7"/>
        </w:rPr>
        <w:t> </w:t>
      </w:r>
      <w:r>
        <w:rPr/>
        <w:t>that</w:t>
      </w:r>
      <w:r>
        <w:rPr>
          <w:spacing w:val="-7"/>
        </w:rPr>
        <w:t> </w:t>
      </w:r>
      <w:r>
        <w:rPr/>
        <w:t>greater</w:t>
      </w:r>
      <w:r>
        <w:rPr>
          <w:spacing w:val="-7"/>
        </w:rPr>
        <w:t> </w:t>
      </w:r>
      <w:r>
        <w:rPr/>
        <w:t>military</w:t>
      </w:r>
      <w:r>
        <w:rPr>
          <w:spacing w:val="-7"/>
        </w:rPr>
        <w:t> </w:t>
      </w:r>
      <w:r>
        <w:rPr/>
        <w:t>spending</w:t>
      </w:r>
      <w:r>
        <w:rPr>
          <w:spacing w:val="-7"/>
        </w:rPr>
        <w:t> </w:t>
      </w:r>
      <w:r>
        <w:rPr/>
        <w:t>increases</w:t>
      </w:r>
      <w:r>
        <w:rPr>
          <w:spacing w:val="-7"/>
        </w:rPr>
        <w:t> </w:t>
      </w:r>
      <w:r>
        <w:rPr/>
        <w:t>state</w:t>
      </w:r>
      <w:r>
        <w:rPr>
          <w:spacing w:val="-7"/>
        </w:rPr>
        <w:t> </w:t>
      </w:r>
      <w:r>
        <w:rPr/>
        <w:t>capacity to</w:t>
      </w:r>
      <w:r>
        <w:rPr>
          <w:spacing w:val="-13"/>
        </w:rPr>
        <w:t> </w:t>
      </w:r>
      <w:r>
        <w:rPr/>
        <w:t>suppress</w:t>
      </w:r>
      <w:r>
        <w:rPr>
          <w:spacing w:val="-12"/>
        </w:rPr>
        <w:t> </w:t>
      </w:r>
      <w:r>
        <w:rPr/>
        <w:t>rebellion.</w:t>
      </w:r>
      <w:r>
        <w:rPr>
          <w:spacing w:val="-12"/>
        </w:rPr>
        <w:t> </w:t>
      </w:r>
      <w:r>
        <w:rPr/>
        <w:t>Next,</w:t>
      </w:r>
      <w:r>
        <w:rPr>
          <w:spacing w:val="-12"/>
        </w:rPr>
        <w:t> </w:t>
      </w:r>
      <w:r>
        <w:rPr/>
        <w:t>we</w:t>
      </w:r>
      <w:r>
        <w:rPr>
          <w:spacing w:val="-12"/>
        </w:rPr>
        <w:t> </w:t>
      </w:r>
      <w:r>
        <w:rPr/>
        <w:t>present</w:t>
      </w:r>
      <w:r>
        <w:rPr>
          <w:spacing w:val="-12"/>
        </w:rPr>
        <w:t> </w:t>
      </w:r>
      <w:r>
        <w:rPr/>
        <w:t>a</w:t>
      </w:r>
      <w:r>
        <w:rPr>
          <w:spacing w:val="-12"/>
        </w:rPr>
        <w:t> </w:t>
      </w:r>
      <w:r>
        <w:rPr/>
        <w:t>theory,</w:t>
      </w:r>
      <w:r>
        <w:rPr>
          <w:spacing w:val="-12"/>
        </w:rPr>
        <w:t> </w:t>
      </w:r>
      <w:r>
        <w:rPr/>
        <w:t>focused</w:t>
      </w:r>
      <w:r>
        <w:rPr>
          <w:spacing w:val="-12"/>
        </w:rPr>
        <w:t> </w:t>
      </w:r>
      <w:r>
        <w:rPr/>
        <w:t>on</w:t>
      </w:r>
      <w:r>
        <w:rPr>
          <w:spacing w:val="-12"/>
        </w:rPr>
        <w:t> </w:t>
      </w:r>
      <w:r>
        <w:rPr/>
        <w:t>state</w:t>
      </w:r>
      <w:r>
        <w:rPr>
          <w:spacing w:val="-12"/>
        </w:rPr>
        <w:t> </w:t>
      </w:r>
      <w:r>
        <w:rPr/>
        <w:t>military</w:t>
      </w:r>
      <w:r>
        <w:rPr>
          <w:spacing w:val="-12"/>
        </w:rPr>
        <w:t> </w:t>
      </w:r>
      <w:r>
        <w:rPr/>
        <w:t>capacity,</w:t>
      </w:r>
      <w:r>
        <w:rPr>
          <w:spacing w:val="-12"/>
        </w:rPr>
        <w:t> </w:t>
      </w:r>
      <w:r>
        <w:rPr/>
        <w:t>that</w:t>
      </w:r>
      <w:r>
        <w:rPr>
          <w:spacing w:val="-12"/>
        </w:rPr>
        <w:t> </w:t>
      </w:r>
      <w:r>
        <w:rPr/>
        <w:t>seeks</w:t>
      </w:r>
      <w:r>
        <w:rPr>
          <w:spacing w:val="-12"/>
        </w:rPr>
        <w:t> </w:t>
      </w:r>
      <w:r>
        <w:rPr/>
        <w:t>to</w:t>
      </w:r>
      <w:r>
        <w:rPr>
          <w:spacing w:val="-12"/>
        </w:rPr>
        <w:t> </w:t>
      </w:r>
      <w:r>
        <w:rPr/>
        <w:t>address these concepts directly.</w:t>
      </w:r>
    </w:p>
    <w:p>
      <w:pPr>
        <w:pStyle w:val="BodyText"/>
      </w:pPr>
    </w:p>
    <w:p>
      <w:pPr>
        <w:pStyle w:val="Heading1"/>
        <w:numPr>
          <w:ilvl w:val="0"/>
          <w:numId w:val="1"/>
        </w:numPr>
        <w:tabs>
          <w:tab w:pos="601" w:val="left" w:leader="none"/>
          <w:tab w:pos="602" w:val="left" w:leader="none"/>
        </w:tabs>
        <w:spacing w:line="240" w:lineRule="auto" w:before="140" w:after="0"/>
        <w:ind w:left="601" w:right="0" w:hanging="485"/>
        <w:jc w:val="left"/>
      </w:pPr>
      <w:r>
        <w:rPr/>
        <w:t>A</w:t>
      </w:r>
      <w:r>
        <w:rPr>
          <w:spacing w:val="9"/>
        </w:rPr>
        <w:t> </w:t>
      </w:r>
      <w:r>
        <w:rPr/>
        <w:t>Theory</w:t>
      </w:r>
      <w:r>
        <w:rPr>
          <w:spacing w:val="10"/>
        </w:rPr>
        <w:t> </w:t>
      </w:r>
      <w:r>
        <w:rPr/>
        <w:t>of</w:t>
      </w:r>
      <w:r>
        <w:rPr>
          <w:spacing w:val="10"/>
        </w:rPr>
        <w:t> </w:t>
      </w:r>
      <w:r>
        <w:rPr/>
        <w:t>Oil</w:t>
      </w:r>
      <w:r>
        <w:rPr>
          <w:spacing w:val="10"/>
        </w:rPr>
        <w:t> </w:t>
      </w:r>
      <w:r>
        <w:rPr/>
        <w:t>Price</w:t>
      </w:r>
      <w:r>
        <w:rPr>
          <w:spacing w:val="10"/>
        </w:rPr>
        <w:t> </w:t>
      </w:r>
      <w:r>
        <w:rPr/>
        <w:t>Shocks</w:t>
      </w:r>
      <w:r>
        <w:rPr>
          <w:spacing w:val="10"/>
        </w:rPr>
        <w:t> </w:t>
      </w:r>
      <w:r>
        <w:rPr/>
        <w:t>and</w:t>
      </w:r>
      <w:r>
        <w:rPr>
          <w:spacing w:val="10"/>
        </w:rPr>
        <w:t> </w:t>
      </w:r>
      <w:r>
        <w:rPr/>
        <w:t>Conflict</w:t>
      </w:r>
      <w:r>
        <w:rPr>
          <w:spacing w:val="10"/>
        </w:rPr>
        <w:t> </w:t>
      </w:r>
      <w:r>
        <w:rPr/>
        <w:t>in</w:t>
      </w:r>
      <w:r>
        <w:rPr>
          <w:spacing w:val="10"/>
        </w:rPr>
        <w:t> </w:t>
      </w:r>
      <w:r>
        <w:rPr/>
        <w:t>Rentier</w:t>
      </w:r>
      <w:r>
        <w:rPr>
          <w:spacing w:val="10"/>
        </w:rPr>
        <w:t> </w:t>
      </w:r>
      <w:r>
        <w:rPr>
          <w:spacing w:val="-2"/>
        </w:rPr>
        <w:t>States</w:t>
      </w:r>
    </w:p>
    <w:p>
      <w:pPr>
        <w:pStyle w:val="BodyText"/>
        <w:spacing w:line="309" w:lineRule="auto" w:before="252"/>
        <w:ind w:left="117" w:right="633" w:firstLine="298"/>
        <w:jc w:val="both"/>
        <w:rPr>
          <w:rFonts w:ascii="Century Gothic"/>
        </w:rPr>
      </w:pPr>
      <w:r>
        <w:rPr/>
        <w:t>In conflict states in which the central government budget is heavily reliant on revenues generated from the sale of oil, we predict that significant negative changes in price will impact the ability of the government to finance security measures in areas vulnerable to rebellion.</w:t>
      </w:r>
      <w:r>
        <w:rPr>
          <w:spacing w:val="40"/>
        </w:rPr>
        <w:t> </w:t>
      </w:r>
      <w:r>
        <w:rPr/>
        <w:t>States are best suited to prevail</w:t>
      </w:r>
      <w:r>
        <w:rPr>
          <w:spacing w:val="-8"/>
        </w:rPr>
        <w:t> </w:t>
      </w:r>
      <w:r>
        <w:rPr/>
        <w:t>in</w:t>
      </w:r>
      <w:r>
        <w:rPr>
          <w:spacing w:val="-8"/>
        </w:rPr>
        <w:t> </w:t>
      </w:r>
      <w:r>
        <w:rPr/>
        <w:t>intrastate,</w:t>
      </w:r>
      <w:r>
        <w:rPr>
          <w:spacing w:val="-7"/>
        </w:rPr>
        <w:t> </w:t>
      </w:r>
      <w:r>
        <w:rPr/>
        <w:t>and</w:t>
      </w:r>
      <w:r>
        <w:rPr>
          <w:spacing w:val="-8"/>
        </w:rPr>
        <w:t> </w:t>
      </w:r>
      <w:r>
        <w:rPr/>
        <w:t>particularly</w:t>
      </w:r>
      <w:r>
        <w:rPr>
          <w:spacing w:val="-8"/>
        </w:rPr>
        <w:t> </w:t>
      </w:r>
      <w:r>
        <w:rPr/>
        <w:t>counter-insurgency,</w:t>
      </w:r>
      <w:r>
        <w:rPr>
          <w:spacing w:val="-7"/>
        </w:rPr>
        <w:t> </w:t>
      </w:r>
      <w:r>
        <w:rPr/>
        <w:t>conflicts</w:t>
      </w:r>
      <w:r>
        <w:rPr>
          <w:spacing w:val="-8"/>
        </w:rPr>
        <w:t> </w:t>
      </w:r>
      <w:r>
        <w:rPr/>
        <w:t>when</w:t>
      </w:r>
      <w:r>
        <w:rPr>
          <w:spacing w:val="-8"/>
        </w:rPr>
        <w:t> </w:t>
      </w:r>
      <w:r>
        <w:rPr/>
        <w:t>their</w:t>
      </w:r>
      <w:r>
        <w:rPr>
          <w:spacing w:val="-8"/>
        </w:rPr>
        <w:t> </w:t>
      </w:r>
      <w:r>
        <w:rPr/>
        <w:t>forces</w:t>
      </w:r>
      <w:r>
        <w:rPr>
          <w:spacing w:val="-8"/>
        </w:rPr>
        <w:t> </w:t>
      </w:r>
      <w:r>
        <w:rPr/>
        <w:t>are</w:t>
      </w:r>
      <w:r>
        <w:rPr>
          <w:spacing w:val="-8"/>
        </w:rPr>
        <w:t> </w:t>
      </w:r>
      <w:r>
        <w:rPr/>
        <w:t>well</w:t>
      </w:r>
      <w:r>
        <w:rPr>
          <w:spacing w:val="-8"/>
        </w:rPr>
        <w:t> </w:t>
      </w:r>
      <w:r>
        <w:rPr/>
        <w:t>equipped and properly trained, both resource-intensive endeavors.</w:t>
      </w:r>
      <w:r>
        <w:rPr>
          <w:spacing w:val="40"/>
        </w:rPr>
        <w:t> </w:t>
      </w:r>
      <w:r>
        <w:rPr/>
        <w:t>Positive resource shocks allow the state to strengthen</w:t>
      </w:r>
      <w:r>
        <w:rPr>
          <w:spacing w:val="-9"/>
        </w:rPr>
        <w:t> </w:t>
      </w:r>
      <w:r>
        <w:rPr/>
        <w:t>its</w:t>
      </w:r>
      <w:r>
        <w:rPr>
          <w:spacing w:val="-9"/>
        </w:rPr>
        <w:t> </w:t>
      </w:r>
      <w:r>
        <w:rPr/>
        <w:t>security</w:t>
      </w:r>
      <w:r>
        <w:rPr>
          <w:spacing w:val="-9"/>
        </w:rPr>
        <w:t> </w:t>
      </w:r>
      <w:r>
        <w:rPr/>
        <w:t>measures</w:t>
      </w:r>
      <w:r>
        <w:rPr>
          <w:spacing w:val="-9"/>
        </w:rPr>
        <w:t> </w:t>
      </w:r>
      <w:r>
        <w:rPr/>
        <w:t>and</w:t>
      </w:r>
      <w:r>
        <w:rPr>
          <w:spacing w:val="-9"/>
        </w:rPr>
        <w:t> </w:t>
      </w:r>
      <w:r>
        <w:rPr/>
        <w:t>control</w:t>
      </w:r>
      <w:r>
        <w:rPr>
          <w:spacing w:val="-9"/>
        </w:rPr>
        <w:t> </w:t>
      </w:r>
      <w:r>
        <w:rPr/>
        <w:t>and</w:t>
      </w:r>
      <w:r>
        <w:rPr>
          <w:spacing w:val="-9"/>
        </w:rPr>
        <w:t> </w:t>
      </w:r>
      <w:r>
        <w:rPr/>
        <w:t>suppress</w:t>
      </w:r>
      <w:r>
        <w:rPr>
          <w:spacing w:val="-9"/>
        </w:rPr>
        <w:t> </w:t>
      </w:r>
      <w:r>
        <w:rPr/>
        <w:t>or</w:t>
      </w:r>
      <w:r>
        <w:rPr>
          <w:spacing w:val="-9"/>
        </w:rPr>
        <w:t> </w:t>
      </w:r>
      <w:r>
        <w:rPr/>
        <w:t>buy</w:t>
      </w:r>
      <w:r>
        <w:rPr>
          <w:spacing w:val="-9"/>
        </w:rPr>
        <w:t> </w:t>
      </w:r>
      <w:r>
        <w:rPr/>
        <w:t>off</w:t>
      </w:r>
      <w:r>
        <w:rPr>
          <w:spacing w:val="-9"/>
        </w:rPr>
        <w:t> </w:t>
      </w:r>
      <w:r>
        <w:rPr/>
        <w:t>rebellion.</w:t>
      </w:r>
      <w:r>
        <w:rPr>
          <w:rFonts w:ascii="Century Gothic"/>
          <w:vertAlign w:val="superscript"/>
        </w:rPr>
        <w:t>43</w:t>
      </w:r>
      <w:r>
        <w:rPr>
          <w:rFonts w:ascii="Century Gothic"/>
          <w:vertAlign w:val="baseline"/>
        </w:rPr>
        <w:t> </w:t>
      </w:r>
      <w:r>
        <w:rPr>
          <w:vertAlign w:val="baseline"/>
        </w:rPr>
        <w:t>Rising</w:t>
      </w:r>
      <w:r>
        <w:rPr>
          <w:spacing w:val="-9"/>
          <w:vertAlign w:val="baseline"/>
        </w:rPr>
        <w:t> </w:t>
      </w:r>
      <w:r>
        <w:rPr>
          <w:vertAlign w:val="baseline"/>
        </w:rPr>
        <w:t>oil</w:t>
      </w:r>
      <w:r>
        <w:rPr>
          <w:spacing w:val="-9"/>
          <w:vertAlign w:val="baseline"/>
        </w:rPr>
        <w:t> </w:t>
      </w:r>
      <w:r>
        <w:rPr>
          <w:vertAlign w:val="baseline"/>
        </w:rPr>
        <w:t>and</w:t>
      </w:r>
      <w:r>
        <w:rPr>
          <w:spacing w:val="-9"/>
          <w:vertAlign w:val="baseline"/>
        </w:rPr>
        <w:t> </w:t>
      </w:r>
      <w:r>
        <w:rPr>
          <w:vertAlign w:val="baseline"/>
        </w:rPr>
        <w:t>mineral prices are therefore associated with shorter, less intense conflicts.</w:t>
      </w:r>
      <w:r>
        <w:rPr>
          <w:rFonts w:ascii="Century Gothic"/>
          <w:vertAlign w:val="superscript"/>
        </w:rPr>
        <w:t>44</w:t>
      </w:r>
    </w:p>
    <w:p>
      <w:pPr>
        <w:pStyle w:val="BodyText"/>
        <w:spacing w:line="316" w:lineRule="auto" w:before="135"/>
        <w:ind w:left="117" w:right="634" w:firstLine="298"/>
        <w:jc w:val="both"/>
      </w:pPr>
      <w:r>
        <w:rPr/>
        <w:t>If our core hypothesis proves correct, then we will have shown that an increase in oil prices leads</w:t>
      </w:r>
      <w:r>
        <w:rPr>
          <w:spacing w:val="40"/>
        </w:rPr>
        <w:t> </w:t>
      </w:r>
      <w:r>
        <w:rPr/>
        <w:t>to more effective security and less battlefield fatalities.</w:t>
      </w:r>
      <w:r>
        <w:rPr>
          <w:spacing w:val="40"/>
        </w:rPr>
        <w:t> </w:t>
      </w:r>
      <w:r>
        <w:rPr/>
        <w:t>We would then expect that greater oil prices correlate to lower battlefield fatalities in oil reliant states.</w:t>
      </w:r>
    </w:p>
    <w:p>
      <w:pPr>
        <w:spacing w:line="304" w:lineRule="auto" w:before="134"/>
        <w:ind w:left="117" w:right="634" w:firstLine="298"/>
        <w:jc w:val="both"/>
        <w:rPr>
          <w:rFonts w:ascii="Bookman Old Style" w:hAnsi="Bookman Old Style"/>
          <w:b w:val="0"/>
          <w:i/>
          <w:sz w:val="20"/>
        </w:rPr>
      </w:pPr>
      <w:r>
        <w:rPr>
          <w:rFonts w:ascii="Bookman Old Style" w:hAnsi="Bookman Old Style"/>
          <w:b w:val="0"/>
          <w:i/>
          <w:spacing w:val="-2"/>
          <w:sz w:val="20"/>
        </w:rPr>
        <w:t>H1:</w:t>
      </w:r>
      <w:r>
        <w:rPr>
          <w:rFonts w:ascii="Bookman Old Style" w:hAnsi="Bookman Old Style"/>
          <w:b w:val="0"/>
          <w:i/>
          <w:spacing w:val="10"/>
          <w:sz w:val="20"/>
        </w:rPr>
        <w:t> </w:t>
      </w:r>
      <w:r>
        <w:rPr>
          <w:rFonts w:ascii="Bookman Old Style" w:hAnsi="Bookman Old Style"/>
          <w:b w:val="0"/>
          <w:i/>
          <w:spacing w:val="-2"/>
          <w:sz w:val="20"/>
        </w:rPr>
        <w:t>An</w:t>
      </w:r>
      <w:r>
        <w:rPr>
          <w:rFonts w:ascii="Bookman Old Style" w:hAnsi="Bookman Old Style"/>
          <w:b w:val="0"/>
          <w:i/>
          <w:spacing w:val="-13"/>
          <w:sz w:val="20"/>
        </w:rPr>
        <w:t> </w:t>
      </w:r>
      <w:r>
        <w:rPr>
          <w:rFonts w:ascii="Bookman Old Style" w:hAnsi="Bookman Old Style"/>
          <w:b w:val="0"/>
          <w:i/>
          <w:spacing w:val="-2"/>
          <w:sz w:val="20"/>
        </w:rPr>
        <w:t>increase</w:t>
      </w:r>
      <w:r>
        <w:rPr>
          <w:rFonts w:ascii="Bookman Old Style" w:hAnsi="Bookman Old Style"/>
          <w:b w:val="0"/>
          <w:i/>
          <w:spacing w:val="-13"/>
          <w:sz w:val="20"/>
        </w:rPr>
        <w:t> </w:t>
      </w:r>
      <w:r>
        <w:rPr>
          <w:rFonts w:ascii="Bookman Old Style" w:hAnsi="Bookman Old Style"/>
          <w:b w:val="0"/>
          <w:i/>
          <w:spacing w:val="-2"/>
          <w:sz w:val="20"/>
        </w:rPr>
        <w:t>in</w:t>
      </w:r>
      <w:r>
        <w:rPr>
          <w:rFonts w:ascii="Bookman Old Style" w:hAnsi="Bookman Old Style"/>
          <w:b w:val="0"/>
          <w:i/>
          <w:spacing w:val="-13"/>
          <w:sz w:val="20"/>
        </w:rPr>
        <w:t> </w:t>
      </w:r>
      <w:r>
        <w:rPr>
          <w:rFonts w:ascii="Bookman Old Style" w:hAnsi="Bookman Old Style"/>
          <w:b w:val="0"/>
          <w:i/>
          <w:spacing w:val="-2"/>
          <w:sz w:val="20"/>
        </w:rPr>
        <w:t>oil</w:t>
      </w:r>
      <w:r>
        <w:rPr>
          <w:rFonts w:ascii="Bookman Old Style" w:hAnsi="Bookman Old Style"/>
          <w:b w:val="0"/>
          <w:i/>
          <w:spacing w:val="-13"/>
          <w:sz w:val="20"/>
        </w:rPr>
        <w:t> </w:t>
      </w:r>
      <w:r>
        <w:rPr>
          <w:rFonts w:ascii="Bookman Old Style" w:hAnsi="Bookman Old Style"/>
          <w:b w:val="0"/>
          <w:i/>
          <w:spacing w:val="-2"/>
          <w:sz w:val="20"/>
        </w:rPr>
        <w:t>prices</w:t>
      </w:r>
      <w:r>
        <w:rPr>
          <w:rFonts w:ascii="Bookman Old Style" w:hAnsi="Bookman Old Style"/>
          <w:b w:val="0"/>
          <w:i/>
          <w:spacing w:val="-13"/>
          <w:sz w:val="20"/>
        </w:rPr>
        <w:t> </w:t>
      </w:r>
      <w:r>
        <w:rPr>
          <w:rFonts w:ascii="Bookman Old Style" w:hAnsi="Bookman Old Style"/>
          <w:b w:val="0"/>
          <w:i/>
          <w:spacing w:val="-2"/>
          <w:sz w:val="20"/>
        </w:rPr>
        <w:t>will</w:t>
      </w:r>
      <w:r>
        <w:rPr>
          <w:rFonts w:ascii="Bookman Old Style" w:hAnsi="Bookman Old Style"/>
          <w:b w:val="0"/>
          <w:i/>
          <w:spacing w:val="-13"/>
          <w:sz w:val="20"/>
        </w:rPr>
        <w:t> </w:t>
      </w:r>
      <w:r>
        <w:rPr>
          <w:rFonts w:ascii="Bookman Old Style" w:hAnsi="Bookman Old Style"/>
          <w:b w:val="0"/>
          <w:i/>
          <w:spacing w:val="-2"/>
          <w:sz w:val="20"/>
        </w:rPr>
        <w:t>be</w:t>
      </w:r>
      <w:r>
        <w:rPr>
          <w:rFonts w:ascii="Bookman Old Style" w:hAnsi="Bookman Old Style"/>
          <w:b w:val="0"/>
          <w:i/>
          <w:spacing w:val="-13"/>
          <w:sz w:val="20"/>
        </w:rPr>
        <w:t> </w:t>
      </w:r>
      <w:r>
        <w:rPr>
          <w:rFonts w:ascii="Bookman Old Style" w:hAnsi="Bookman Old Style"/>
          <w:b w:val="0"/>
          <w:i/>
          <w:spacing w:val="-2"/>
          <w:sz w:val="20"/>
        </w:rPr>
        <w:t>correlated</w:t>
      </w:r>
      <w:r>
        <w:rPr>
          <w:rFonts w:ascii="Bookman Old Style" w:hAnsi="Bookman Old Style"/>
          <w:b w:val="0"/>
          <w:i/>
          <w:spacing w:val="-13"/>
          <w:sz w:val="20"/>
        </w:rPr>
        <w:t> </w:t>
      </w:r>
      <w:r>
        <w:rPr>
          <w:rFonts w:ascii="Bookman Old Style" w:hAnsi="Bookman Old Style"/>
          <w:b w:val="0"/>
          <w:i/>
          <w:spacing w:val="-2"/>
          <w:sz w:val="20"/>
        </w:rPr>
        <w:t>with</w:t>
      </w:r>
      <w:r>
        <w:rPr>
          <w:rFonts w:ascii="Bookman Old Style" w:hAnsi="Bookman Old Style"/>
          <w:b w:val="0"/>
          <w:i/>
          <w:spacing w:val="-13"/>
          <w:sz w:val="20"/>
        </w:rPr>
        <w:t> </w:t>
      </w:r>
      <w:r>
        <w:rPr>
          <w:rFonts w:ascii="Bookman Old Style" w:hAnsi="Bookman Old Style"/>
          <w:b w:val="0"/>
          <w:i/>
          <w:spacing w:val="-2"/>
          <w:sz w:val="20"/>
        </w:rPr>
        <w:t>a</w:t>
      </w:r>
      <w:r>
        <w:rPr>
          <w:rFonts w:ascii="Bookman Old Style" w:hAnsi="Bookman Old Style"/>
          <w:b w:val="0"/>
          <w:i/>
          <w:spacing w:val="-13"/>
          <w:sz w:val="20"/>
        </w:rPr>
        <w:t> </w:t>
      </w:r>
      <w:r>
        <w:rPr>
          <w:rFonts w:ascii="Bookman Old Style" w:hAnsi="Bookman Old Style"/>
          <w:b w:val="0"/>
          <w:i/>
          <w:spacing w:val="-2"/>
          <w:sz w:val="20"/>
        </w:rPr>
        <w:t>decrease</w:t>
      </w:r>
      <w:r>
        <w:rPr>
          <w:rFonts w:ascii="Bookman Old Style" w:hAnsi="Bookman Old Style"/>
          <w:b w:val="0"/>
          <w:i/>
          <w:spacing w:val="-13"/>
          <w:sz w:val="20"/>
        </w:rPr>
        <w:t> </w:t>
      </w:r>
      <w:r>
        <w:rPr>
          <w:rFonts w:ascii="Bookman Old Style" w:hAnsi="Bookman Old Style"/>
          <w:b w:val="0"/>
          <w:i/>
          <w:spacing w:val="-2"/>
          <w:sz w:val="20"/>
        </w:rPr>
        <w:t>in</w:t>
      </w:r>
      <w:r>
        <w:rPr>
          <w:rFonts w:ascii="Bookman Old Style" w:hAnsi="Bookman Old Style"/>
          <w:b w:val="0"/>
          <w:i/>
          <w:spacing w:val="-13"/>
          <w:sz w:val="20"/>
        </w:rPr>
        <w:t> </w:t>
      </w:r>
      <w:r>
        <w:rPr>
          <w:rFonts w:ascii="Bookman Old Style" w:hAnsi="Bookman Old Style"/>
          <w:b w:val="0"/>
          <w:i/>
          <w:spacing w:val="-2"/>
          <w:sz w:val="20"/>
        </w:rPr>
        <w:t>combat</w:t>
      </w:r>
      <w:r>
        <w:rPr>
          <w:rFonts w:ascii="Bookman Old Style" w:hAnsi="Bookman Old Style"/>
          <w:b w:val="0"/>
          <w:i/>
          <w:spacing w:val="-13"/>
          <w:sz w:val="20"/>
        </w:rPr>
        <w:t> </w:t>
      </w:r>
      <w:r>
        <w:rPr>
          <w:rFonts w:ascii="Bookman Old Style" w:hAnsi="Bookman Old Style"/>
          <w:b w:val="0"/>
          <w:i/>
          <w:spacing w:val="-2"/>
          <w:sz w:val="20"/>
        </w:rPr>
        <w:t>fatalities,</w:t>
      </w:r>
      <w:r>
        <w:rPr>
          <w:rFonts w:ascii="Bookman Old Style" w:hAnsi="Bookman Old Style"/>
          <w:b w:val="0"/>
          <w:i/>
          <w:spacing w:val="-10"/>
          <w:sz w:val="20"/>
        </w:rPr>
        <w:t> </w:t>
      </w:r>
      <w:r>
        <w:rPr>
          <w:rFonts w:ascii="Bookman Old Style" w:hAnsi="Bookman Old Style"/>
          <w:b w:val="0"/>
          <w:i/>
          <w:spacing w:val="-2"/>
          <w:sz w:val="20"/>
        </w:rPr>
        <w:t>i.e.</w:t>
      </w:r>
      <w:r>
        <w:rPr>
          <w:rFonts w:ascii="Bookman Old Style" w:hAnsi="Bookman Old Style"/>
          <w:b w:val="0"/>
          <w:i/>
          <w:spacing w:val="22"/>
          <w:sz w:val="20"/>
        </w:rPr>
        <w:t> </w:t>
      </w:r>
      <w:r>
        <w:rPr>
          <w:rFonts w:ascii="Bookman Old Style" w:hAnsi="Bookman Old Style"/>
          <w:b w:val="0"/>
          <w:i/>
          <w:spacing w:val="-2"/>
          <w:sz w:val="20"/>
        </w:rPr>
        <w:t>“battle</w:t>
      </w:r>
      <w:r>
        <w:rPr>
          <w:rFonts w:ascii="Bookman Old Style" w:hAnsi="Bookman Old Style"/>
          <w:b w:val="0"/>
          <w:i/>
          <w:spacing w:val="-2"/>
          <w:sz w:val="20"/>
        </w:rPr>
        <w:t> </w:t>
      </w:r>
      <w:r>
        <w:rPr>
          <w:rFonts w:ascii="Bookman Old Style" w:hAnsi="Bookman Old Style"/>
          <w:b w:val="0"/>
          <w:i/>
          <w:spacing w:val="-4"/>
          <w:sz w:val="20"/>
        </w:rPr>
        <w:t>deaths,”</w:t>
      </w:r>
      <w:r>
        <w:rPr>
          <w:rFonts w:ascii="Bookman Old Style" w:hAnsi="Bookman Old Style"/>
          <w:b w:val="0"/>
          <w:i/>
          <w:spacing w:val="-8"/>
          <w:sz w:val="20"/>
        </w:rPr>
        <w:t> </w:t>
      </w:r>
      <w:r>
        <w:rPr>
          <w:rFonts w:ascii="Bookman Old Style" w:hAnsi="Bookman Old Style"/>
          <w:b w:val="0"/>
          <w:i/>
          <w:spacing w:val="-4"/>
          <w:sz w:val="20"/>
        </w:rPr>
        <w:t>in</w:t>
      </w:r>
      <w:r>
        <w:rPr>
          <w:rFonts w:ascii="Bookman Old Style" w:hAnsi="Bookman Old Style"/>
          <w:b w:val="0"/>
          <w:i/>
          <w:spacing w:val="-8"/>
          <w:sz w:val="20"/>
        </w:rPr>
        <w:t> </w:t>
      </w:r>
      <w:r>
        <w:rPr>
          <w:rFonts w:ascii="Bookman Old Style" w:hAnsi="Bookman Old Style"/>
          <w:b w:val="0"/>
          <w:i/>
          <w:spacing w:val="-4"/>
          <w:sz w:val="20"/>
        </w:rPr>
        <w:t>conflict</w:t>
      </w:r>
      <w:r>
        <w:rPr>
          <w:rFonts w:ascii="Bookman Old Style" w:hAnsi="Bookman Old Style"/>
          <w:b w:val="0"/>
          <w:i/>
          <w:spacing w:val="-8"/>
          <w:sz w:val="20"/>
        </w:rPr>
        <w:t> </w:t>
      </w:r>
      <w:r>
        <w:rPr>
          <w:rFonts w:ascii="Bookman Old Style" w:hAnsi="Bookman Old Style"/>
          <w:b w:val="0"/>
          <w:i/>
          <w:spacing w:val="-4"/>
          <w:sz w:val="20"/>
        </w:rPr>
        <w:t>states</w:t>
      </w:r>
      <w:r>
        <w:rPr>
          <w:rFonts w:ascii="Bookman Old Style" w:hAnsi="Bookman Old Style"/>
          <w:b w:val="0"/>
          <w:i/>
          <w:spacing w:val="-8"/>
          <w:sz w:val="20"/>
        </w:rPr>
        <w:t> </w:t>
      </w:r>
      <w:r>
        <w:rPr>
          <w:rFonts w:ascii="Bookman Old Style" w:hAnsi="Bookman Old Style"/>
          <w:b w:val="0"/>
          <w:i/>
          <w:spacing w:val="-4"/>
          <w:sz w:val="20"/>
        </w:rPr>
        <w:t>reliant</w:t>
      </w:r>
      <w:r>
        <w:rPr>
          <w:rFonts w:ascii="Bookman Old Style" w:hAnsi="Bookman Old Style"/>
          <w:b w:val="0"/>
          <w:i/>
          <w:spacing w:val="-8"/>
          <w:sz w:val="20"/>
        </w:rPr>
        <w:t> </w:t>
      </w:r>
      <w:r>
        <w:rPr>
          <w:rFonts w:ascii="Bookman Old Style" w:hAnsi="Bookman Old Style"/>
          <w:b w:val="0"/>
          <w:i/>
          <w:spacing w:val="-4"/>
          <w:sz w:val="20"/>
        </w:rPr>
        <w:t>on</w:t>
      </w:r>
      <w:r>
        <w:rPr>
          <w:rFonts w:ascii="Bookman Old Style" w:hAnsi="Bookman Old Style"/>
          <w:b w:val="0"/>
          <w:i/>
          <w:spacing w:val="-8"/>
          <w:sz w:val="20"/>
        </w:rPr>
        <w:t> </w:t>
      </w:r>
      <w:r>
        <w:rPr>
          <w:rFonts w:ascii="Bookman Old Style" w:hAnsi="Bookman Old Style"/>
          <w:b w:val="0"/>
          <w:i/>
          <w:spacing w:val="-4"/>
          <w:sz w:val="20"/>
        </w:rPr>
        <w:t>oil,</w:t>
      </w:r>
      <w:r>
        <w:rPr>
          <w:rFonts w:ascii="Bookman Old Style" w:hAnsi="Bookman Old Style"/>
          <w:b w:val="0"/>
          <w:i/>
          <w:spacing w:val="-8"/>
          <w:sz w:val="20"/>
        </w:rPr>
        <w:t> </w:t>
      </w:r>
      <w:r>
        <w:rPr>
          <w:rFonts w:ascii="Bookman Old Style" w:hAnsi="Bookman Old Style"/>
          <w:b w:val="0"/>
          <w:i/>
          <w:spacing w:val="-4"/>
          <w:sz w:val="20"/>
        </w:rPr>
        <w:t>relative</w:t>
      </w:r>
      <w:r>
        <w:rPr>
          <w:rFonts w:ascii="Bookman Old Style" w:hAnsi="Bookman Old Style"/>
          <w:b w:val="0"/>
          <w:i/>
          <w:spacing w:val="-8"/>
          <w:sz w:val="20"/>
        </w:rPr>
        <w:t> </w:t>
      </w:r>
      <w:r>
        <w:rPr>
          <w:rFonts w:ascii="Bookman Old Style" w:hAnsi="Bookman Old Style"/>
          <w:b w:val="0"/>
          <w:i/>
          <w:spacing w:val="-4"/>
          <w:sz w:val="20"/>
        </w:rPr>
        <w:t>to</w:t>
      </w:r>
      <w:r>
        <w:rPr>
          <w:rFonts w:ascii="Bookman Old Style" w:hAnsi="Bookman Old Style"/>
          <w:b w:val="0"/>
          <w:i/>
          <w:spacing w:val="-8"/>
          <w:sz w:val="20"/>
        </w:rPr>
        <w:t> </w:t>
      </w:r>
      <w:r>
        <w:rPr>
          <w:rFonts w:ascii="Bookman Old Style" w:hAnsi="Bookman Old Style"/>
          <w:b w:val="0"/>
          <w:i/>
          <w:spacing w:val="-4"/>
          <w:sz w:val="20"/>
        </w:rPr>
        <w:t>those</w:t>
      </w:r>
      <w:r>
        <w:rPr>
          <w:rFonts w:ascii="Bookman Old Style" w:hAnsi="Bookman Old Style"/>
          <w:b w:val="0"/>
          <w:i/>
          <w:spacing w:val="-8"/>
          <w:sz w:val="20"/>
        </w:rPr>
        <w:t> </w:t>
      </w:r>
      <w:r>
        <w:rPr>
          <w:rFonts w:ascii="Bookman Old Style" w:hAnsi="Bookman Old Style"/>
          <w:b w:val="0"/>
          <w:i/>
          <w:spacing w:val="-4"/>
          <w:sz w:val="20"/>
        </w:rPr>
        <w:t>not</w:t>
      </w:r>
      <w:r>
        <w:rPr>
          <w:rFonts w:ascii="Bookman Old Style" w:hAnsi="Bookman Old Style"/>
          <w:b w:val="0"/>
          <w:i/>
          <w:spacing w:val="-8"/>
          <w:sz w:val="20"/>
        </w:rPr>
        <w:t> </w:t>
      </w:r>
      <w:r>
        <w:rPr>
          <w:rFonts w:ascii="Bookman Old Style" w:hAnsi="Bookman Old Style"/>
          <w:b w:val="0"/>
          <w:i/>
          <w:spacing w:val="-4"/>
          <w:sz w:val="20"/>
        </w:rPr>
        <w:t>reliant</w:t>
      </w:r>
      <w:r>
        <w:rPr>
          <w:rFonts w:ascii="Bookman Old Style" w:hAnsi="Bookman Old Style"/>
          <w:b w:val="0"/>
          <w:i/>
          <w:spacing w:val="-8"/>
          <w:sz w:val="20"/>
        </w:rPr>
        <w:t> </w:t>
      </w:r>
      <w:r>
        <w:rPr>
          <w:rFonts w:ascii="Bookman Old Style" w:hAnsi="Bookman Old Style"/>
          <w:b w:val="0"/>
          <w:i/>
          <w:spacing w:val="-4"/>
          <w:sz w:val="20"/>
        </w:rPr>
        <w:t>on</w:t>
      </w:r>
      <w:r>
        <w:rPr>
          <w:rFonts w:ascii="Bookman Old Style" w:hAnsi="Bookman Old Style"/>
          <w:b w:val="0"/>
          <w:i/>
          <w:spacing w:val="-8"/>
          <w:sz w:val="20"/>
        </w:rPr>
        <w:t> </w:t>
      </w:r>
      <w:r>
        <w:rPr>
          <w:rFonts w:ascii="Bookman Old Style" w:hAnsi="Bookman Old Style"/>
          <w:b w:val="0"/>
          <w:i/>
          <w:spacing w:val="-4"/>
          <w:sz w:val="20"/>
        </w:rPr>
        <w:t>oil,</w:t>
      </w:r>
      <w:r>
        <w:rPr>
          <w:rFonts w:ascii="Bookman Old Style" w:hAnsi="Bookman Old Style"/>
          <w:b w:val="0"/>
          <w:i/>
          <w:spacing w:val="-8"/>
          <w:sz w:val="20"/>
        </w:rPr>
        <w:t> </w:t>
      </w:r>
      <w:r>
        <w:rPr>
          <w:rFonts w:ascii="Bookman Old Style" w:hAnsi="Bookman Old Style"/>
          <w:b w:val="0"/>
          <w:i/>
          <w:spacing w:val="-4"/>
          <w:sz w:val="20"/>
        </w:rPr>
        <w:t>all</w:t>
      </w:r>
      <w:r>
        <w:rPr>
          <w:rFonts w:ascii="Bookman Old Style" w:hAnsi="Bookman Old Style"/>
          <w:b w:val="0"/>
          <w:i/>
          <w:spacing w:val="-8"/>
          <w:sz w:val="20"/>
        </w:rPr>
        <w:t> </w:t>
      </w:r>
      <w:r>
        <w:rPr>
          <w:rFonts w:ascii="Bookman Old Style" w:hAnsi="Bookman Old Style"/>
          <w:b w:val="0"/>
          <w:i/>
          <w:spacing w:val="-4"/>
          <w:sz w:val="20"/>
        </w:rPr>
        <w:t>else</w:t>
      </w:r>
      <w:r>
        <w:rPr>
          <w:rFonts w:ascii="Bookman Old Style" w:hAnsi="Bookman Old Style"/>
          <w:b w:val="0"/>
          <w:i/>
          <w:spacing w:val="-8"/>
          <w:sz w:val="20"/>
        </w:rPr>
        <w:t> </w:t>
      </w:r>
      <w:r>
        <w:rPr>
          <w:rFonts w:ascii="Bookman Old Style" w:hAnsi="Bookman Old Style"/>
          <w:b w:val="0"/>
          <w:i/>
          <w:spacing w:val="-4"/>
          <w:sz w:val="20"/>
        </w:rPr>
        <w:t>equal.</w:t>
      </w:r>
    </w:p>
    <w:p>
      <w:pPr>
        <w:pStyle w:val="BodyText"/>
        <w:spacing w:before="148"/>
        <w:ind w:left="416"/>
      </w:pPr>
      <w:r>
        <w:rPr>
          <w:spacing w:val="-2"/>
        </w:rPr>
        <w:t>In</w:t>
      </w:r>
      <w:r>
        <w:rPr>
          <w:spacing w:val="-7"/>
        </w:rPr>
        <w:t> </w:t>
      </w:r>
      <w:r>
        <w:rPr>
          <w:spacing w:val="-2"/>
        </w:rPr>
        <w:t>states</w:t>
      </w:r>
      <w:r>
        <w:rPr>
          <w:spacing w:val="-6"/>
        </w:rPr>
        <w:t> </w:t>
      </w:r>
      <w:r>
        <w:rPr>
          <w:spacing w:val="-2"/>
        </w:rPr>
        <w:t>dependant</w:t>
      </w:r>
      <w:r>
        <w:rPr>
          <w:spacing w:val="-6"/>
        </w:rPr>
        <w:t> </w:t>
      </w:r>
      <w:r>
        <w:rPr>
          <w:spacing w:val="-2"/>
        </w:rPr>
        <w:t>on</w:t>
      </w:r>
      <w:r>
        <w:rPr>
          <w:spacing w:val="-7"/>
        </w:rPr>
        <w:t> </w:t>
      </w:r>
      <w:r>
        <w:rPr>
          <w:spacing w:val="-2"/>
        </w:rPr>
        <w:t>the</w:t>
      </w:r>
      <w:r>
        <w:rPr>
          <w:spacing w:val="-6"/>
        </w:rPr>
        <w:t> </w:t>
      </w:r>
      <w:r>
        <w:rPr>
          <w:spacing w:val="-2"/>
        </w:rPr>
        <w:t>sale</w:t>
      </w:r>
      <w:r>
        <w:rPr>
          <w:spacing w:val="-6"/>
        </w:rPr>
        <w:t> </w:t>
      </w:r>
      <w:r>
        <w:rPr>
          <w:spacing w:val="-2"/>
        </w:rPr>
        <w:t>of</w:t>
      </w:r>
      <w:r>
        <w:rPr>
          <w:spacing w:val="-6"/>
        </w:rPr>
        <w:t> </w:t>
      </w:r>
      <w:r>
        <w:rPr>
          <w:spacing w:val="-2"/>
        </w:rPr>
        <w:t>oil,</w:t>
      </w:r>
      <w:r>
        <w:rPr>
          <w:spacing w:val="-5"/>
        </w:rPr>
        <w:t> </w:t>
      </w:r>
      <w:r>
        <w:rPr>
          <w:spacing w:val="-2"/>
        </w:rPr>
        <w:t>higher</w:t>
      </w:r>
      <w:r>
        <w:rPr>
          <w:spacing w:val="-6"/>
        </w:rPr>
        <w:t> </w:t>
      </w:r>
      <w:r>
        <w:rPr>
          <w:spacing w:val="-2"/>
        </w:rPr>
        <w:t>prices</w:t>
      </w:r>
      <w:r>
        <w:rPr>
          <w:spacing w:val="-7"/>
        </w:rPr>
        <w:t> </w:t>
      </w:r>
      <w:r>
        <w:rPr>
          <w:spacing w:val="-2"/>
        </w:rPr>
        <w:t>lead</w:t>
      </w:r>
      <w:r>
        <w:rPr>
          <w:spacing w:val="-6"/>
        </w:rPr>
        <w:t> </w:t>
      </w:r>
      <w:r>
        <w:rPr>
          <w:spacing w:val="-2"/>
        </w:rPr>
        <w:t>to</w:t>
      </w:r>
      <w:r>
        <w:rPr>
          <w:spacing w:val="-6"/>
        </w:rPr>
        <w:t> </w:t>
      </w:r>
      <w:r>
        <w:rPr>
          <w:spacing w:val="-2"/>
        </w:rPr>
        <w:t>more</w:t>
      </w:r>
      <w:r>
        <w:rPr>
          <w:spacing w:val="-6"/>
        </w:rPr>
        <w:t> </w:t>
      </w:r>
      <w:r>
        <w:rPr>
          <w:spacing w:val="-2"/>
        </w:rPr>
        <w:t>revenue.</w:t>
      </w:r>
      <w:r>
        <w:rPr>
          <w:spacing w:val="14"/>
        </w:rPr>
        <w:t> </w:t>
      </w:r>
      <w:r>
        <w:rPr>
          <w:spacing w:val="-2"/>
        </w:rPr>
        <w:t>These</w:t>
      </w:r>
      <w:r>
        <w:rPr>
          <w:spacing w:val="-6"/>
        </w:rPr>
        <w:t> </w:t>
      </w:r>
      <w:r>
        <w:rPr>
          <w:spacing w:val="-2"/>
        </w:rPr>
        <w:t>higher</w:t>
      </w:r>
      <w:r>
        <w:rPr>
          <w:spacing w:val="-6"/>
        </w:rPr>
        <w:t> </w:t>
      </w:r>
      <w:r>
        <w:rPr>
          <w:spacing w:val="-2"/>
        </w:rPr>
        <w:t>revenues</w:t>
      </w:r>
      <w:r>
        <w:rPr>
          <w:spacing w:val="-6"/>
        </w:rPr>
        <w:t> </w:t>
      </w:r>
      <w:r>
        <w:rPr>
          <w:spacing w:val="-4"/>
        </w:rPr>
        <w:t>lead</w:t>
      </w:r>
    </w:p>
    <w:p>
      <w:pPr>
        <w:pStyle w:val="BodyText"/>
        <w:spacing w:before="3"/>
        <w:rPr>
          <w:sz w:val="8"/>
        </w:rPr>
      </w:pPr>
      <w:r>
        <w:rPr/>
        <w:pict>
          <v:shape style="position:absolute;margin-left:70.865997pt;margin-top:5.922678pt;width:179.75pt;height:.1pt;mso-position-horizontal-relative:page;mso-position-vertical-relative:paragraph;z-index:-15726080;mso-wrap-distance-left:0;mso-wrap-distance-right:0" id="docshape8" coordorigin="1417,118" coordsize="3595,0" path="m1417,118l5012,118e" filled="false" stroked="true" strokeweight=".398pt" strokecolor="#000000">
            <v:path arrowok="t"/>
            <v:stroke dashstyle="solid"/>
            <w10:wrap type="topAndBottom"/>
          </v:shape>
        </w:pict>
      </w:r>
    </w:p>
    <w:p>
      <w:pPr>
        <w:spacing w:before="34"/>
        <w:ind w:left="266" w:right="0" w:firstLine="0"/>
        <w:jc w:val="left"/>
        <w:rPr>
          <w:rFonts w:ascii="Bookman Old Style"/>
          <w:b w:val="0"/>
          <w:sz w:val="16"/>
        </w:rPr>
      </w:pPr>
      <w:r>
        <w:rPr>
          <w:rFonts w:ascii="Bookman Old Style"/>
          <w:b w:val="0"/>
          <w:sz w:val="16"/>
          <w:vertAlign w:val="superscript"/>
        </w:rPr>
        <w:t>33</w:t>
      </w:r>
      <w:r>
        <w:rPr>
          <w:rFonts w:ascii="Bookman Old Style"/>
          <w:b w:val="0"/>
          <w:sz w:val="16"/>
          <w:vertAlign w:val="baseline"/>
        </w:rPr>
        <w:t>Ali</w:t>
      </w:r>
      <w:r>
        <w:rPr>
          <w:rFonts w:ascii="Bookman Old Style"/>
          <w:b w:val="0"/>
          <w:spacing w:val="18"/>
          <w:sz w:val="16"/>
          <w:vertAlign w:val="baseline"/>
        </w:rPr>
        <w:t> </w:t>
      </w:r>
      <w:r>
        <w:rPr>
          <w:rFonts w:ascii="Bookman Old Style"/>
          <w:b w:val="0"/>
          <w:sz w:val="16"/>
          <w:vertAlign w:val="baseline"/>
        </w:rPr>
        <w:t>&amp;</w:t>
      </w:r>
      <w:r>
        <w:rPr>
          <w:rFonts w:ascii="Bookman Old Style"/>
          <w:b w:val="0"/>
          <w:spacing w:val="19"/>
          <w:sz w:val="16"/>
          <w:vertAlign w:val="baseline"/>
        </w:rPr>
        <w:t> </w:t>
      </w:r>
      <w:r>
        <w:rPr>
          <w:rFonts w:ascii="Bookman Old Style"/>
          <w:b w:val="0"/>
          <w:sz w:val="16"/>
          <w:vertAlign w:val="baseline"/>
        </w:rPr>
        <w:t>Abdellatif</w:t>
      </w:r>
      <w:r>
        <w:rPr>
          <w:rFonts w:ascii="Bookman Old Style"/>
          <w:b w:val="0"/>
          <w:spacing w:val="19"/>
          <w:sz w:val="16"/>
          <w:vertAlign w:val="baseline"/>
        </w:rPr>
        <w:t> </w:t>
      </w:r>
      <w:r>
        <w:rPr>
          <w:rFonts w:ascii="Bookman Old Style"/>
          <w:b w:val="0"/>
          <w:spacing w:val="-2"/>
          <w:sz w:val="16"/>
          <w:vertAlign w:val="baseline"/>
        </w:rPr>
        <w:t>(2015)</w:t>
      </w:r>
    </w:p>
    <w:p>
      <w:pPr>
        <w:spacing w:before="2"/>
        <w:ind w:left="266" w:right="0" w:firstLine="0"/>
        <w:jc w:val="left"/>
        <w:rPr>
          <w:rFonts w:ascii="Bookman Old Style"/>
          <w:b w:val="0"/>
          <w:sz w:val="16"/>
        </w:rPr>
      </w:pPr>
      <w:r>
        <w:rPr>
          <w:rFonts w:ascii="Bookman Old Style"/>
          <w:b w:val="0"/>
          <w:sz w:val="16"/>
          <w:vertAlign w:val="superscript"/>
        </w:rPr>
        <w:t>34</w:t>
      </w:r>
      <w:r>
        <w:rPr>
          <w:rFonts w:ascii="Bookman Old Style"/>
          <w:b w:val="0"/>
          <w:sz w:val="16"/>
          <w:vertAlign w:val="baseline"/>
        </w:rPr>
        <w:t>Dizaji</w:t>
      </w:r>
      <w:r>
        <w:rPr>
          <w:rFonts w:ascii="Bookman Old Style"/>
          <w:b w:val="0"/>
          <w:spacing w:val="35"/>
          <w:sz w:val="16"/>
          <w:vertAlign w:val="baseline"/>
        </w:rPr>
        <w:t> </w:t>
      </w:r>
      <w:r>
        <w:rPr>
          <w:rFonts w:ascii="Bookman Old Style"/>
          <w:b w:val="0"/>
          <w:spacing w:val="-2"/>
          <w:sz w:val="16"/>
          <w:vertAlign w:val="baseline"/>
        </w:rPr>
        <w:t>(2019)</w:t>
      </w:r>
    </w:p>
    <w:p>
      <w:pPr>
        <w:spacing w:before="3"/>
        <w:ind w:left="266" w:right="0" w:firstLine="0"/>
        <w:jc w:val="left"/>
        <w:rPr>
          <w:rFonts w:ascii="Bookman Old Style"/>
          <w:b w:val="0"/>
          <w:sz w:val="16"/>
        </w:rPr>
      </w:pPr>
      <w:r>
        <w:rPr>
          <w:rFonts w:ascii="Bookman Old Style"/>
          <w:b w:val="0"/>
          <w:sz w:val="16"/>
          <w:vertAlign w:val="superscript"/>
        </w:rPr>
        <w:t>35</w:t>
      </w:r>
      <w:r>
        <w:rPr>
          <w:rFonts w:ascii="Bookman Old Style"/>
          <w:b w:val="0"/>
          <w:sz w:val="16"/>
          <w:vertAlign w:val="baseline"/>
        </w:rPr>
        <w:t>Al-Mawali</w:t>
      </w:r>
      <w:r>
        <w:rPr>
          <w:rFonts w:ascii="Bookman Old Style"/>
          <w:b w:val="0"/>
          <w:spacing w:val="14"/>
          <w:sz w:val="16"/>
          <w:vertAlign w:val="baseline"/>
        </w:rPr>
        <w:t> </w:t>
      </w:r>
      <w:r>
        <w:rPr>
          <w:rFonts w:ascii="Bookman Old Style"/>
          <w:b w:val="0"/>
          <w:spacing w:val="-2"/>
          <w:sz w:val="16"/>
          <w:vertAlign w:val="baseline"/>
        </w:rPr>
        <w:t>(2015)</w:t>
      </w:r>
    </w:p>
    <w:p>
      <w:pPr>
        <w:spacing w:before="2"/>
        <w:ind w:left="266" w:right="0" w:firstLine="0"/>
        <w:jc w:val="left"/>
        <w:rPr>
          <w:rFonts w:ascii="Bookman Old Style"/>
          <w:b w:val="0"/>
          <w:sz w:val="16"/>
        </w:rPr>
      </w:pPr>
      <w:r>
        <w:rPr>
          <w:rFonts w:ascii="Bookman Old Style"/>
          <w:b w:val="0"/>
          <w:spacing w:val="-4"/>
          <w:sz w:val="16"/>
          <w:vertAlign w:val="superscript"/>
        </w:rPr>
        <w:t>36</w:t>
      </w:r>
      <w:r>
        <w:rPr>
          <w:rFonts w:ascii="Bookman Old Style"/>
          <w:b w:val="0"/>
          <w:spacing w:val="-4"/>
          <w:sz w:val="16"/>
          <w:vertAlign w:val="baseline"/>
        </w:rPr>
        <w:t>Frank and Guesnet</w:t>
      </w:r>
      <w:r>
        <w:rPr>
          <w:rFonts w:ascii="Bookman Old Style"/>
          <w:b w:val="0"/>
          <w:spacing w:val="-3"/>
          <w:sz w:val="16"/>
          <w:vertAlign w:val="baseline"/>
        </w:rPr>
        <w:t> </w:t>
      </w:r>
      <w:r>
        <w:rPr>
          <w:rFonts w:ascii="Bookman Old Style"/>
          <w:b w:val="0"/>
          <w:spacing w:val="-4"/>
          <w:sz w:val="16"/>
          <w:vertAlign w:val="baseline"/>
        </w:rPr>
        <w:t>(2009).</w:t>
      </w:r>
    </w:p>
    <w:p>
      <w:pPr>
        <w:spacing w:before="2"/>
        <w:ind w:left="266" w:right="0" w:firstLine="0"/>
        <w:jc w:val="left"/>
        <w:rPr>
          <w:rFonts w:ascii="Bookman Old Style"/>
          <w:b w:val="0"/>
          <w:sz w:val="16"/>
        </w:rPr>
      </w:pPr>
      <w:r>
        <w:rPr>
          <w:rFonts w:ascii="Bookman Old Style"/>
          <w:b w:val="0"/>
          <w:spacing w:val="-4"/>
          <w:sz w:val="16"/>
          <w:vertAlign w:val="superscript"/>
        </w:rPr>
        <w:t>37</w:t>
      </w:r>
      <w:r>
        <w:rPr>
          <w:rFonts w:ascii="Bookman Old Style"/>
          <w:b w:val="0"/>
          <w:spacing w:val="-4"/>
          <w:sz w:val="16"/>
          <w:vertAlign w:val="baseline"/>
        </w:rPr>
        <w:t>Perlo-Freeman</w:t>
      </w:r>
      <w:r>
        <w:rPr>
          <w:rFonts w:ascii="Bookman Old Style"/>
          <w:b w:val="0"/>
          <w:spacing w:val="-5"/>
          <w:sz w:val="16"/>
          <w:vertAlign w:val="baseline"/>
        </w:rPr>
        <w:t> </w:t>
      </w:r>
      <w:r>
        <w:rPr>
          <w:rFonts w:ascii="Bookman Old Style"/>
          <w:b w:val="0"/>
          <w:spacing w:val="-4"/>
          <w:sz w:val="16"/>
          <w:vertAlign w:val="baseline"/>
        </w:rPr>
        <w:t>and Brauner (2012).</w:t>
      </w:r>
    </w:p>
    <w:p>
      <w:pPr>
        <w:spacing w:line="242" w:lineRule="auto" w:before="2"/>
        <w:ind w:left="266" w:right="7329" w:firstLine="0"/>
        <w:jc w:val="left"/>
        <w:rPr>
          <w:rFonts w:ascii="Bookman Old Style"/>
          <w:b w:val="0"/>
          <w:sz w:val="16"/>
        </w:rPr>
      </w:pPr>
      <w:r>
        <w:rPr>
          <w:rFonts w:ascii="Bookman Old Style"/>
          <w:b w:val="0"/>
          <w:sz w:val="16"/>
          <w:vertAlign w:val="superscript"/>
        </w:rPr>
        <w:t>38</w:t>
      </w:r>
      <w:r>
        <w:rPr>
          <w:rFonts w:ascii="Bookman Old Style"/>
          <w:b w:val="0"/>
          <w:sz w:val="16"/>
          <w:vertAlign w:val="baseline"/>
        </w:rPr>
        <w:t>Farzanegan (2011). </w:t>
      </w:r>
      <w:r>
        <w:rPr>
          <w:rFonts w:ascii="Bookman Old Style"/>
          <w:b w:val="0"/>
          <w:sz w:val="16"/>
          <w:vertAlign w:val="superscript"/>
        </w:rPr>
        <w:t>39</w:t>
      </w:r>
      <w:r>
        <w:rPr>
          <w:rFonts w:ascii="Bookman Old Style"/>
          <w:b w:val="0"/>
          <w:sz w:val="16"/>
          <w:vertAlign w:val="baseline"/>
        </w:rPr>
        <w:t>Cotet</w:t>
      </w:r>
      <w:r>
        <w:rPr>
          <w:rFonts w:ascii="Bookman Old Style"/>
          <w:b w:val="0"/>
          <w:spacing w:val="-13"/>
          <w:sz w:val="16"/>
          <w:vertAlign w:val="baseline"/>
        </w:rPr>
        <w:t> </w:t>
      </w:r>
      <w:r>
        <w:rPr>
          <w:rFonts w:ascii="Bookman Old Style"/>
          <w:b w:val="0"/>
          <w:sz w:val="16"/>
          <w:vertAlign w:val="baseline"/>
        </w:rPr>
        <w:t>and</w:t>
      </w:r>
      <w:r>
        <w:rPr>
          <w:rFonts w:ascii="Bookman Old Style"/>
          <w:b w:val="0"/>
          <w:spacing w:val="-13"/>
          <w:sz w:val="16"/>
          <w:vertAlign w:val="baseline"/>
        </w:rPr>
        <w:t> </w:t>
      </w:r>
      <w:r>
        <w:rPr>
          <w:rFonts w:ascii="Bookman Old Style"/>
          <w:b w:val="0"/>
          <w:sz w:val="16"/>
          <w:vertAlign w:val="baseline"/>
        </w:rPr>
        <w:t>Tsui</w:t>
      </w:r>
      <w:r>
        <w:rPr>
          <w:rFonts w:ascii="Bookman Old Style"/>
          <w:b w:val="0"/>
          <w:spacing w:val="-13"/>
          <w:sz w:val="16"/>
          <w:vertAlign w:val="baseline"/>
        </w:rPr>
        <w:t> </w:t>
      </w:r>
      <w:r>
        <w:rPr>
          <w:rFonts w:ascii="Bookman Old Style"/>
          <w:b w:val="0"/>
          <w:sz w:val="16"/>
          <w:vertAlign w:val="baseline"/>
        </w:rPr>
        <w:t>(2013). </w:t>
      </w:r>
      <w:r>
        <w:rPr>
          <w:rFonts w:ascii="Bookman Old Style"/>
          <w:b w:val="0"/>
          <w:sz w:val="16"/>
          <w:vertAlign w:val="superscript"/>
        </w:rPr>
        <w:t>40</w:t>
      </w:r>
      <w:r>
        <w:rPr>
          <w:rFonts w:ascii="Bookman Old Style"/>
          <w:b w:val="0"/>
          <w:sz w:val="16"/>
          <w:vertAlign w:val="baseline"/>
        </w:rPr>
        <w:t>Farzanagen (2018).</w:t>
      </w:r>
    </w:p>
    <w:p>
      <w:pPr>
        <w:spacing w:before="2"/>
        <w:ind w:left="266" w:right="0" w:firstLine="0"/>
        <w:jc w:val="left"/>
        <w:rPr>
          <w:rFonts w:ascii="Bookman Old Style"/>
          <w:b w:val="0"/>
          <w:sz w:val="16"/>
        </w:rPr>
      </w:pPr>
      <w:r>
        <w:rPr>
          <w:rFonts w:ascii="Bookman Old Style"/>
          <w:b w:val="0"/>
          <w:sz w:val="16"/>
          <w:vertAlign w:val="superscript"/>
        </w:rPr>
        <w:t>41</w:t>
      </w:r>
      <w:r>
        <w:rPr>
          <w:rFonts w:ascii="Bookman Old Style"/>
          <w:b w:val="0"/>
          <w:sz w:val="16"/>
          <w:vertAlign w:val="baseline"/>
        </w:rPr>
        <w:t>Bellin</w:t>
      </w:r>
      <w:r>
        <w:rPr>
          <w:rFonts w:ascii="Bookman Old Style"/>
          <w:b w:val="0"/>
          <w:spacing w:val="12"/>
          <w:sz w:val="16"/>
          <w:vertAlign w:val="baseline"/>
        </w:rPr>
        <w:t> </w:t>
      </w:r>
      <w:r>
        <w:rPr>
          <w:rFonts w:ascii="Bookman Old Style"/>
          <w:b w:val="0"/>
          <w:spacing w:val="-2"/>
          <w:sz w:val="16"/>
          <w:vertAlign w:val="baseline"/>
        </w:rPr>
        <w:t>(2004).</w:t>
      </w:r>
    </w:p>
    <w:p>
      <w:pPr>
        <w:spacing w:before="2"/>
        <w:ind w:left="266" w:right="0" w:firstLine="0"/>
        <w:jc w:val="left"/>
        <w:rPr>
          <w:rFonts w:ascii="Bookman Old Style"/>
          <w:b w:val="0"/>
          <w:sz w:val="16"/>
        </w:rPr>
      </w:pPr>
      <w:r>
        <w:rPr>
          <w:rFonts w:ascii="Bookman Old Style"/>
          <w:b w:val="0"/>
          <w:sz w:val="16"/>
          <w:vertAlign w:val="superscript"/>
        </w:rPr>
        <w:t>42</w:t>
      </w:r>
      <w:r>
        <w:rPr>
          <w:rFonts w:ascii="Bookman Old Style"/>
          <w:b w:val="0"/>
          <w:sz w:val="16"/>
          <w:vertAlign w:val="baseline"/>
        </w:rPr>
        <w:t>Fjelde</w:t>
      </w:r>
      <w:r>
        <w:rPr>
          <w:rFonts w:ascii="Bookman Old Style"/>
          <w:b w:val="0"/>
          <w:spacing w:val="21"/>
          <w:sz w:val="16"/>
          <w:vertAlign w:val="baseline"/>
        </w:rPr>
        <w:t> </w:t>
      </w:r>
      <w:r>
        <w:rPr>
          <w:rFonts w:ascii="Bookman Old Style"/>
          <w:b w:val="0"/>
          <w:spacing w:val="-2"/>
          <w:sz w:val="16"/>
          <w:vertAlign w:val="baseline"/>
        </w:rPr>
        <w:t>(2009).</w:t>
      </w:r>
    </w:p>
    <w:p>
      <w:pPr>
        <w:spacing w:before="2"/>
        <w:ind w:left="266" w:right="0" w:firstLine="0"/>
        <w:jc w:val="left"/>
        <w:rPr>
          <w:rFonts w:ascii="Bookman Old Style"/>
          <w:b w:val="0"/>
          <w:sz w:val="16"/>
        </w:rPr>
      </w:pPr>
      <w:r>
        <w:rPr>
          <w:rFonts w:ascii="Bookman Old Style"/>
          <w:b w:val="0"/>
          <w:spacing w:val="-2"/>
          <w:sz w:val="16"/>
          <w:vertAlign w:val="superscript"/>
        </w:rPr>
        <w:t>43</w:t>
      </w:r>
      <w:r>
        <w:rPr>
          <w:rFonts w:ascii="Bookman Old Style"/>
          <w:b w:val="0"/>
          <w:spacing w:val="-2"/>
          <w:sz w:val="16"/>
          <w:vertAlign w:val="baseline"/>
        </w:rPr>
        <w:t>Snyder</w:t>
      </w:r>
      <w:r>
        <w:rPr>
          <w:rFonts w:ascii="Bookman Old Style"/>
          <w:b w:val="0"/>
          <w:spacing w:val="-8"/>
          <w:sz w:val="16"/>
          <w:vertAlign w:val="baseline"/>
        </w:rPr>
        <w:t> </w:t>
      </w:r>
      <w:r>
        <w:rPr>
          <w:rFonts w:ascii="Bookman Old Style"/>
          <w:b w:val="0"/>
          <w:spacing w:val="-2"/>
          <w:sz w:val="16"/>
          <w:vertAlign w:val="baseline"/>
        </w:rPr>
        <w:t>(2006);</w:t>
      </w:r>
      <w:r>
        <w:rPr>
          <w:rFonts w:ascii="Bookman Old Style"/>
          <w:b w:val="0"/>
          <w:spacing w:val="-7"/>
          <w:sz w:val="16"/>
          <w:vertAlign w:val="baseline"/>
        </w:rPr>
        <w:t> </w:t>
      </w:r>
      <w:r>
        <w:rPr>
          <w:rFonts w:ascii="Bookman Old Style"/>
          <w:b w:val="0"/>
          <w:spacing w:val="-2"/>
          <w:sz w:val="16"/>
          <w:vertAlign w:val="baseline"/>
        </w:rPr>
        <w:t>Ross</w:t>
      </w:r>
      <w:r>
        <w:rPr>
          <w:rFonts w:ascii="Bookman Old Style"/>
          <w:b w:val="0"/>
          <w:spacing w:val="-8"/>
          <w:sz w:val="16"/>
          <w:vertAlign w:val="baseline"/>
        </w:rPr>
        <w:t> </w:t>
      </w:r>
      <w:r>
        <w:rPr>
          <w:rFonts w:ascii="Bookman Old Style"/>
          <w:b w:val="0"/>
          <w:spacing w:val="-2"/>
          <w:sz w:val="16"/>
          <w:vertAlign w:val="baseline"/>
        </w:rPr>
        <w:t>(2012);</w:t>
      </w:r>
      <w:r>
        <w:rPr>
          <w:rFonts w:ascii="Bookman Old Style"/>
          <w:b w:val="0"/>
          <w:spacing w:val="-7"/>
          <w:sz w:val="16"/>
          <w:vertAlign w:val="baseline"/>
        </w:rPr>
        <w:t> </w:t>
      </w:r>
      <w:r>
        <w:rPr>
          <w:rFonts w:ascii="Bookman Old Style"/>
          <w:b w:val="0"/>
          <w:spacing w:val="-2"/>
          <w:sz w:val="16"/>
          <w:vertAlign w:val="baseline"/>
        </w:rPr>
        <w:t>Bazzi</w:t>
      </w:r>
      <w:r>
        <w:rPr>
          <w:rFonts w:ascii="Bookman Old Style"/>
          <w:b w:val="0"/>
          <w:spacing w:val="-8"/>
          <w:sz w:val="16"/>
          <w:vertAlign w:val="baseline"/>
        </w:rPr>
        <w:t> </w:t>
      </w:r>
      <w:r>
        <w:rPr>
          <w:rFonts w:ascii="Bookman Old Style"/>
          <w:b w:val="0"/>
          <w:spacing w:val="-2"/>
          <w:sz w:val="16"/>
          <w:vertAlign w:val="baseline"/>
        </w:rPr>
        <w:t>and</w:t>
      </w:r>
      <w:r>
        <w:rPr>
          <w:rFonts w:ascii="Bookman Old Style"/>
          <w:b w:val="0"/>
          <w:spacing w:val="-7"/>
          <w:sz w:val="16"/>
          <w:vertAlign w:val="baseline"/>
        </w:rPr>
        <w:t> </w:t>
      </w:r>
      <w:r>
        <w:rPr>
          <w:rFonts w:ascii="Bookman Old Style"/>
          <w:b w:val="0"/>
          <w:spacing w:val="-2"/>
          <w:sz w:val="16"/>
          <w:vertAlign w:val="baseline"/>
        </w:rPr>
        <w:t>Blattman</w:t>
      </w:r>
      <w:r>
        <w:rPr>
          <w:rFonts w:ascii="Bookman Old Style"/>
          <w:b w:val="0"/>
          <w:spacing w:val="-7"/>
          <w:sz w:val="16"/>
          <w:vertAlign w:val="baseline"/>
        </w:rPr>
        <w:t> </w:t>
      </w:r>
      <w:r>
        <w:rPr>
          <w:rFonts w:ascii="Bookman Old Style"/>
          <w:b w:val="0"/>
          <w:spacing w:val="-2"/>
          <w:sz w:val="16"/>
          <w:vertAlign w:val="baseline"/>
        </w:rPr>
        <w:t>(2014).</w:t>
      </w:r>
    </w:p>
    <w:p>
      <w:pPr>
        <w:spacing w:before="2"/>
        <w:ind w:left="266" w:right="0" w:firstLine="0"/>
        <w:jc w:val="left"/>
        <w:rPr>
          <w:rFonts w:ascii="Bookman Old Style"/>
          <w:b w:val="0"/>
          <w:sz w:val="16"/>
        </w:rPr>
      </w:pPr>
      <w:r>
        <w:rPr>
          <w:rFonts w:ascii="Bookman Old Style"/>
          <w:b w:val="0"/>
          <w:sz w:val="16"/>
          <w:vertAlign w:val="superscript"/>
        </w:rPr>
        <w:t>44</w:t>
      </w:r>
      <w:r>
        <w:rPr>
          <w:rFonts w:ascii="Bookman Old Style"/>
          <w:b w:val="0"/>
          <w:sz w:val="16"/>
          <w:vertAlign w:val="baseline"/>
        </w:rPr>
        <w:t>Bazzi</w:t>
      </w:r>
      <w:r>
        <w:rPr>
          <w:rFonts w:ascii="Bookman Old Style"/>
          <w:b w:val="0"/>
          <w:spacing w:val="-8"/>
          <w:sz w:val="16"/>
          <w:vertAlign w:val="baseline"/>
        </w:rPr>
        <w:t> </w:t>
      </w:r>
      <w:r>
        <w:rPr>
          <w:rFonts w:ascii="Bookman Old Style"/>
          <w:b w:val="0"/>
          <w:sz w:val="16"/>
          <w:vertAlign w:val="baseline"/>
        </w:rPr>
        <w:t>and</w:t>
      </w:r>
      <w:r>
        <w:rPr>
          <w:rFonts w:ascii="Bookman Old Style"/>
          <w:b w:val="0"/>
          <w:spacing w:val="-8"/>
          <w:sz w:val="16"/>
          <w:vertAlign w:val="baseline"/>
        </w:rPr>
        <w:t> </w:t>
      </w:r>
      <w:r>
        <w:rPr>
          <w:rFonts w:ascii="Bookman Old Style"/>
          <w:b w:val="0"/>
          <w:sz w:val="16"/>
          <w:vertAlign w:val="baseline"/>
        </w:rPr>
        <w:t>Blattman</w:t>
      </w:r>
      <w:r>
        <w:rPr>
          <w:rFonts w:ascii="Bookman Old Style"/>
          <w:b w:val="0"/>
          <w:spacing w:val="-8"/>
          <w:sz w:val="16"/>
          <w:vertAlign w:val="baseline"/>
        </w:rPr>
        <w:t> </w:t>
      </w:r>
      <w:r>
        <w:rPr>
          <w:rFonts w:ascii="Bookman Old Style"/>
          <w:b w:val="0"/>
          <w:spacing w:val="-4"/>
          <w:sz w:val="16"/>
          <w:vertAlign w:val="baseline"/>
        </w:rPr>
        <w:t>2014</w:t>
      </w:r>
    </w:p>
    <w:p>
      <w:pPr>
        <w:spacing w:after="0"/>
        <w:jc w:val="left"/>
        <w:rPr>
          <w:rFonts w:ascii="Bookman Old Style"/>
          <w:sz w:val="16"/>
        </w:rPr>
        <w:sectPr>
          <w:footerReference w:type="default" r:id="rId11"/>
          <w:pgSz w:w="12240" w:h="15840"/>
          <w:pgMar w:footer="1252" w:header="0" w:top="1080" w:bottom="1440" w:left="1300" w:right="1200"/>
        </w:sectPr>
      </w:pPr>
    </w:p>
    <w:p>
      <w:pPr>
        <w:pStyle w:val="BodyText"/>
        <w:spacing w:line="316" w:lineRule="auto" w:before="49"/>
        <w:ind w:left="117" w:right="633"/>
        <w:jc w:val="both"/>
      </w:pPr>
      <w:r>
        <w:rPr/>
        <w:t>to more military and security spending, allowing states to fund additional soldiers, police, and other security personnel.</w:t>
      </w:r>
      <w:r>
        <w:rPr>
          <w:spacing w:val="27"/>
        </w:rPr>
        <w:t> </w:t>
      </w:r>
      <w:r>
        <w:rPr/>
        <w:t>This increase in security capacity leads to a reduction in rebels’ ability to operate, and thus, in the medium term, this should reduce the number of battle deaths as rebels scale back operations or lay down their arms.</w:t>
      </w:r>
    </w:p>
    <w:p>
      <w:pPr>
        <w:pStyle w:val="BodyText"/>
        <w:spacing w:line="312" w:lineRule="auto" w:before="138"/>
        <w:ind w:left="117" w:right="633" w:firstLine="298"/>
        <w:jc w:val="both"/>
      </w:pPr>
      <w:r>
        <w:rPr/>
        <w:t>To test the mediating variable in this hypotheses, we also examine whether oil prices impact oil- dependent</w:t>
      </w:r>
      <w:r>
        <w:rPr>
          <w:spacing w:val="-13"/>
        </w:rPr>
        <w:t> </w:t>
      </w:r>
      <w:r>
        <w:rPr/>
        <w:t>states’</w:t>
      </w:r>
      <w:r>
        <w:rPr>
          <w:spacing w:val="-12"/>
        </w:rPr>
        <w:t> </w:t>
      </w:r>
      <w:r>
        <w:rPr/>
        <w:t>military</w:t>
      </w:r>
      <w:r>
        <w:rPr>
          <w:spacing w:val="-12"/>
        </w:rPr>
        <w:t> </w:t>
      </w:r>
      <w:r>
        <w:rPr/>
        <w:t>expenditures.</w:t>
      </w:r>
      <w:r>
        <w:rPr>
          <w:spacing w:val="-12"/>
        </w:rPr>
        <w:t> </w:t>
      </w:r>
      <w:r>
        <w:rPr/>
        <w:t>In</w:t>
      </w:r>
      <w:r>
        <w:rPr>
          <w:spacing w:val="-12"/>
        </w:rPr>
        <w:t> </w:t>
      </w:r>
      <w:r>
        <w:rPr/>
        <w:t>line</w:t>
      </w:r>
      <w:r>
        <w:rPr>
          <w:spacing w:val="-12"/>
        </w:rPr>
        <w:t> </w:t>
      </w:r>
      <w:r>
        <w:rPr/>
        <w:t>with</w:t>
      </w:r>
      <w:r>
        <w:rPr>
          <w:spacing w:val="-12"/>
        </w:rPr>
        <w:t> </w:t>
      </w:r>
      <w:r>
        <w:rPr/>
        <w:t>the</w:t>
      </w:r>
      <w:r>
        <w:rPr>
          <w:spacing w:val="-12"/>
        </w:rPr>
        <w:t> </w:t>
      </w:r>
      <w:r>
        <w:rPr/>
        <w:t>conclusions</w:t>
      </w:r>
      <w:r>
        <w:rPr>
          <w:spacing w:val="-12"/>
        </w:rPr>
        <w:t> </w:t>
      </w:r>
      <w:r>
        <w:rPr/>
        <w:t>of</w:t>
      </w:r>
      <w:r>
        <w:rPr>
          <w:spacing w:val="-12"/>
        </w:rPr>
        <w:t> </w:t>
      </w:r>
      <w:r>
        <w:rPr/>
        <w:t>previous</w:t>
      </w:r>
      <w:r>
        <w:rPr>
          <w:spacing w:val="-12"/>
        </w:rPr>
        <w:t> </w:t>
      </w:r>
      <w:r>
        <w:rPr/>
        <w:t>scholars</w:t>
      </w:r>
      <w:r>
        <w:rPr>
          <w:rFonts w:ascii="Century Gothic" w:hAnsi="Century Gothic"/>
          <w:vertAlign w:val="superscript"/>
        </w:rPr>
        <w:t>45</w:t>
      </w:r>
      <w:r>
        <w:rPr>
          <w:rFonts w:ascii="Century Gothic" w:hAnsi="Century Gothic"/>
          <w:spacing w:val="-14"/>
          <w:vertAlign w:val="baseline"/>
        </w:rPr>
        <w:t> </w:t>
      </w:r>
      <w:r>
        <w:rPr>
          <w:vertAlign w:val="baseline"/>
        </w:rPr>
        <w:t>who</w:t>
      </w:r>
      <w:r>
        <w:rPr>
          <w:spacing w:val="-12"/>
          <w:vertAlign w:val="baseline"/>
        </w:rPr>
        <w:t> </w:t>
      </w:r>
      <w:r>
        <w:rPr>
          <w:vertAlign w:val="baseline"/>
        </w:rPr>
        <w:t>demon- </w:t>
      </w:r>
      <w:r>
        <w:rPr>
          <w:spacing w:val="-2"/>
          <w:vertAlign w:val="baseline"/>
        </w:rPr>
        <w:t>strated</w:t>
      </w:r>
      <w:r>
        <w:rPr>
          <w:spacing w:val="-5"/>
          <w:vertAlign w:val="baseline"/>
        </w:rPr>
        <w:t> </w:t>
      </w:r>
      <w:r>
        <w:rPr>
          <w:spacing w:val="-2"/>
          <w:vertAlign w:val="baseline"/>
        </w:rPr>
        <w:t>a</w:t>
      </w:r>
      <w:r>
        <w:rPr>
          <w:spacing w:val="-5"/>
          <w:vertAlign w:val="baseline"/>
        </w:rPr>
        <w:t> </w:t>
      </w:r>
      <w:r>
        <w:rPr>
          <w:spacing w:val="-2"/>
          <w:vertAlign w:val="baseline"/>
        </w:rPr>
        <w:t>correlation</w:t>
      </w:r>
      <w:r>
        <w:rPr>
          <w:spacing w:val="-5"/>
          <w:vertAlign w:val="baseline"/>
        </w:rPr>
        <w:t> </w:t>
      </w:r>
      <w:r>
        <w:rPr>
          <w:spacing w:val="-2"/>
          <w:vertAlign w:val="baseline"/>
        </w:rPr>
        <w:t>between</w:t>
      </w:r>
      <w:r>
        <w:rPr>
          <w:spacing w:val="-5"/>
          <w:vertAlign w:val="baseline"/>
        </w:rPr>
        <w:t> </w:t>
      </w:r>
      <w:r>
        <w:rPr>
          <w:spacing w:val="-2"/>
          <w:vertAlign w:val="baseline"/>
        </w:rPr>
        <w:t>oil</w:t>
      </w:r>
      <w:r>
        <w:rPr>
          <w:spacing w:val="-6"/>
          <w:vertAlign w:val="baseline"/>
        </w:rPr>
        <w:t> </w:t>
      </w:r>
      <w:r>
        <w:rPr>
          <w:spacing w:val="-2"/>
          <w:vertAlign w:val="baseline"/>
        </w:rPr>
        <w:t>rents/revenue</w:t>
      </w:r>
      <w:r>
        <w:rPr>
          <w:spacing w:val="-5"/>
          <w:vertAlign w:val="baseline"/>
        </w:rPr>
        <w:t> </w:t>
      </w:r>
      <w:r>
        <w:rPr>
          <w:spacing w:val="-2"/>
          <w:vertAlign w:val="baseline"/>
        </w:rPr>
        <w:t>and</w:t>
      </w:r>
      <w:r>
        <w:rPr>
          <w:spacing w:val="-6"/>
          <w:vertAlign w:val="baseline"/>
        </w:rPr>
        <w:t> </w:t>
      </w:r>
      <w:r>
        <w:rPr>
          <w:spacing w:val="-2"/>
          <w:vertAlign w:val="baseline"/>
        </w:rPr>
        <w:t>military</w:t>
      </w:r>
      <w:r>
        <w:rPr>
          <w:spacing w:val="-5"/>
          <w:vertAlign w:val="baseline"/>
        </w:rPr>
        <w:t> </w:t>
      </w:r>
      <w:r>
        <w:rPr>
          <w:spacing w:val="-2"/>
          <w:vertAlign w:val="baseline"/>
        </w:rPr>
        <w:t>spending,</w:t>
      </w:r>
      <w:r>
        <w:rPr>
          <w:spacing w:val="-4"/>
          <w:vertAlign w:val="baseline"/>
        </w:rPr>
        <w:t> </w:t>
      </w:r>
      <w:r>
        <w:rPr>
          <w:spacing w:val="-2"/>
          <w:vertAlign w:val="baseline"/>
        </w:rPr>
        <w:t>we</w:t>
      </w:r>
      <w:r>
        <w:rPr>
          <w:spacing w:val="-5"/>
          <w:vertAlign w:val="baseline"/>
        </w:rPr>
        <w:t> </w:t>
      </w:r>
      <w:r>
        <w:rPr>
          <w:spacing w:val="-2"/>
          <w:vertAlign w:val="baseline"/>
        </w:rPr>
        <w:t>theorize</w:t>
      </w:r>
      <w:r>
        <w:rPr>
          <w:spacing w:val="-5"/>
          <w:vertAlign w:val="baseline"/>
        </w:rPr>
        <w:t> </w:t>
      </w:r>
      <w:r>
        <w:rPr>
          <w:spacing w:val="-2"/>
          <w:vertAlign w:val="baseline"/>
        </w:rPr>
        <w:t>a</w:t>
      </w:r>
      <w:r>
        <w:rPr>
          <w:spacing w:val="-6"/>
          <w:vertAlign w:val="baseline"/>
        </w:rPr>
        <w:t> </w:t>
      </w:r>
      <w:r>
        <w:rPr>
          <w:spacing w:val="-2"/>
          <w:vertAlign w:val="baseline"/>
        </w:rPr>
        <w:t>correlation</w:t>
      </w:r>
      <w:r>
        <w:rPr>
          <w:spacing w:val="-5"/>
          <w:vertAlign w:val="baseline"/>
        </w:rPr>
        <w:t> </w:t>
      </w:r>
      <w:r>
        <w:rPr>
          <w:spacing w:val="-2"/>
          <w:vertAlign w:val="baseline"/>
        </w:rPr>
        <w:t>between </w:t>
      </w:r>
      <w:r>
        <w:rPr>
          <w:vertAlign w:val="baseline"/>
        </w:rPr>
        <w:t>oil prices and military expenditures among states more reliant on oil rents.</w:t>
      </w:r>
      <w:r>
        <w:rPr>
          <w:spacing w:val="40"/>
          <w:vertAlign w:val="baseline"/>
        </w:rPr>
        <w:t> </w:t>
      </w:r>
      <w:r>
        <w:rPr>
          <w:vertAlign w:val="baseline"/>
        </w:rPr>
        <w:t>As the price of oil rises, rentier states highly dependent on oil will see a growth in revenue.</w:t>
      </w:r>
      <w:r>
        <w:rPr>
          <w:spacing w:val="40"/>
          <w:vertAlign w:val="baseline"/>
        </w:rPr>
        <w:t> </w:t>
      </w:r>
      <w:r>
        <w:rPr>
          <w:vertAlign w:val="baseline"/>
        </w:rPr>
        <w:t>As their revenue increases, these states</w:t>
      </w:r>
      <w:r>
        <w:rPr>
          <w:spacing w:val="-12"/>
          <w:vertAlign w:val="baseline"/>
        </w:rPr>
        <w:t> </w:t>
      </w:r>
      <w:r>
        <w:rPr>
          <w:vertAlign w:val="baseline"/>
        </w:rPr>
        <w:t>will</w:t>
      </w:r>
      <w:r>
        <w:rPr>
          <w:spacing w:val="-12"/>
          <w:vertAlign w:val="baseline"/>
        </w:rPr>
        <w:t> </w:t>
      </w:r>
      <w:r>
        <w:rPr>
          <w:vertAlign w:val="baseline"/>
        </w:rPr>
        <w:t>be</w:t>
      </w:r>
      <w:r>
        <w:rPr>
          <w:spacing w:val="-12"/>
          <w:vertAlign w:val="baseline"/>
        </w:rPr>
        <w:t> </w:t>
      </w:r>
      <w:r>
        <w:rPr>
          <w:vertAlign w:val="baseline"/>
        </w:rPr>
        <w:t>inclined</w:t>
      </w:r>
      <w:r>
        <w:rPr>
          <w:spacing w:val="-12"/>
          <w:vertAlign w:val="baseline"/>
        </w:rPr>
        <w:t> </w:t>
      </w:r>
      <w:r>
        <w:rPr>
          <w:vertAlign w:val="baseline"/>
        </w:rPr>
        <w:t>to</w:t>
      </w:r>
      <w:r>
        <w:rPr>
          <w:spacing w:val="-12"/>
          <w:vertAlign w:val="baseline"/>
        </w:rPr>
        <w:t> </w:t>
      </w:r>
      <w:r>
        <w:rPr>
          <w:vertAlign w:val="baseline"/>
        </w:rPr>
        <w:t>dedicate</w:t>
      </w:r>
      <w:r>
        <w:rPr>
          <w:spacing w:val="-12"/>
          <w:vertAlign w:val="baseline"/>
        </w:rPr>
        <w:t> </w:t>
      </w:r>
      <w:r>
        <w:rPr>
          <w:vertAlign w:val="baseline"/>
        </w:rPr>
        <w:t>more</w:t>
      </w:r>
      <w:r>
        <w:rPr>
          <w:spacing w:val="-12"/>
          <w:vertAlign w:val="baseline"/>
        </w:rPr>
        <w:t> </w:t>
      </w:r>
      <w:r>
        <w:rPr>
          <w:vertAlign w:val="baseline"/>
        </w:rPr>
        <w:t>resources</w:t>
      </w:r>
      <w:r>
        <w:rPr>
          <w:spacing w:val="-12"/>
          <w:vertAlign w:val="baseline"/>
        </w:rPr>
        <w:t> </w:t>
      </w:r>
      <w:r>
        <w:rPr>
          <w:vertAlign w:val="baseline"/>
        </w:rPr>
        <w:t>to</w:t>
      </w:r>
      <w:r>
        <w:rPr>
          <w:spacing w:val="-12"/>
          <w:vertAlign w:val="baseline"/>
        </w:rPr>
        <w:t> </w:t>
      </w:r>
      <w:r>
        <w:rPr>
          <w:vertAlign w:val="baseline"/>
        </w:rPr>
        <w:t>the</w:t>
      </w:r>
      <w:r>
        <w:rPr>
          <w:spacing w:val="-12"/>
          <w:vertAlign w:val="baseline"/>
        </w:rPr>
        <w:t> </w:t>
      </w:r>
      <w:r>
        <w:rPr>
          <w:vertAlign w:val="baseline"/>
        </w:rPr>
        <w:t>military.</w:t>
      </w:r>
      <w:r>
        <w:rPr>
          <w:spacing w:val="6"/>
          <w:vertAlign w:val="baseline"/>
        </w:rPr>
        <w:t> </w:t>
      </w:r>
      <w:r>
        <w:rPr>
          <w:vertAlign w:val="baseline"/>
        </w:rPr>
        <w:t>In</w:t>
      </w:r>
      <w:r>
        <w:rPr>
          <w:spacing w:val="-12"/>
          <w:vertAlign w:val="baseline"/>
        </w:rPr>
        <w:t> </w:t>
      </w:r>
      <w:r>
        <w:rPr>
          <w:vertAlign w:val="baseline"/>
        </w:rPr>
        <w:t>contrast,</w:t>
      </w:r>
      <w:r>
        <w:rPr>
          <w:spacing w:val="-10"/>
          <w:vertAlign w:val="baseline"/>
        </w:rPr>
        <w:t> </w:t>
      </w:r>
      <w:r>
        <w:rPr>
          <w:vertAlign w:val="baseline"/>
        </w:rPr>
        <w:t>when</w:t>
      </w:r>
      <w:r>
        <w:rPr>
          <w:spacing w:val="-12"/>
          <w:vertAlign w:val="baseline"/>
        </w:rPr>
        <w:t> </w:t>
      </w:r>
      <w:r>
        <w:rPr>
          <w:vertAlign w:val="baseline"/>
        </w:rPr>
        <w:t>oil</w:t>
      </w:r>
      <w:r>
        <w:rPr>
          <w:spacing w:val="-12"/>
          <w:vertAlign w:val="baseline"/>
        </w:rPr>
        <w:t> </w:t>
      </w:r>
      <w:r>
        <w:rPr>
          <w:vertAlign w:val="baseline"/>
        </w:rPr>
        <w:t>prices</w:t>
      </w:r>
      <w:r>
        <w:rPr>
          <w:spacing w:val="-12"/>
          <w:vertAlign w:val="baseline"/>
        </w:rPr>
        <w:t> </w:t>
      </w:r>
      <w:r>
        <w:rPr>
          <w:vertAlign w:val="baseline"/>
        </w:rPr>
        <w:t>drop</w:t>
      </w:r>
      <w:r>
        <w:rPr>
          <w:spacing w:val="-12"/>
          <w:vertAlign w:val="baseline"/>
        </w:rPr>
        <w:t> </w:t>
      </w:r>
      <w:r>
        <w:rPr>
          <w:vertAlign w:val="baseline"/>
        </w:rPr>
        <w:t>along with rents, states will respond with cuts to military spending.</w:t>
      </w:r>
    </w:p>
    <w:p>
      <w:pPr>
        <w:spacing w:line="304" w:lineRule="auto" w:before="137"/>
        <w:ind w:left="117" w:right="633" w:firstLine="298"/>
        <w:jc w:val="both"/>
        <w:rPr>
          <w:rFonts w:ascii="Bookman Old Style"/>
          <w:b w:val="0"/>
          <w:i/>
          <w:sz w:val="20"/>
        </w:rPr>
      </w:pPr>
      <w:r>
        <w:rPr>
          <w:rFonts w:ascii="Bookman Old Style"/>
          <w:b w:val="0"/>
          <w:i/>
          <w:w w:val="90"/>
          <w:sz w:val="20"/>
        </w:rPr>
        <w:t>H2:</w:t>
      </w:r>
      <w:r>
        <w:rPr>
          <w:rFonts w:ascii="Bookman Old Style"/>
          <w:b w:val="0"/>
          <w:i/>
          <w:spacing w:val="8"/>
          <w:sz w:val="20"/>
        </w:rPr>
        <w:t> </w:t>
      </w:r>
      <w:r>
        <w:rPr>
          <w:rFonts w:ascii="Bookman Old Style"/>
          <w:b w:val="0"/>
          <w:i/>
          <w:w w:val="90"/>
          <w:sz w:val="20"/>
        </w:rPr>
        <w:t>When</w:t>
      </w:r>
      <w:r>
        <w:rPr>
          <w:rFonts w:ascii="Bookman Old Style"/>
          <w:b w:val="0"/>
          <w:i/>
          <w:spacing w:val="-5"/>
          <w:w w:val="90"/>
          <w:sz w:val="20"/>
        </w:rPr>
        <w:t> </w:t>
      </w:r>
      <w:r>
        <w:rPr>
          <w:rFonts w:ascii="Bookman Old Style"/>
          <w:b w:val="0"/>
          <w:i/>
          <w:w w:val="90"/>
          <w:sz w:val="20"/>
        </w:rPr>
        <w:t>oil</w:t>
      </w:r>
      <w:r>
        <w:rPr>
          <w:rFonts w:ascii="Bookman Old Style"/>
          <w:b w:val="0"/>
          <w:i/>
          <w:spacing w:val="-5"/>
          <w:w w:val="90"/>
          <w:sz w:val="20"/>
        </w:rPr>
        <w:t> </w:t>
      </w:r>
      <w:r>
        <w:rPr>
          <w:rFonts w:ascii="Bookman Old Style"/>
          <w:b w:val="0"/>
          <w:i/>
          <w:w w:val="90"/>
          <w:sz w:val="20"/>
        </w:rPr>
        <w:t>prices</w:t>
      </w:r>
      <w:r>
        <w:rPr>
          <w:rFonts w:ascii="Bookman Old Style"/>
          <w:b w:val="0"/>
          <w:i/>
          <w:spacing w:val="-5"/>
          <w:w w:val="90"/>
          <w:sz w:val="20"/>
        </w:rPr>
        <w:t> </w:t>
      </w:r>
      <w:r>
        <w:rPr>
          <w:rFonts w:ascii="Bookman Old Style"/>
          <w:b w:val="0"/>
          <w:i/>
          <w:w w:val="90"/>
          <w:sz w:val="20"/>
        </w:rPr>
        <w:t>are</w:t>
      </w:r>
      <w:r>
        <w:rPr>
          <w:rFonts w:ascii="Bookman Old Style"/>
          <w:b w:val="0"/>
          <w:i/>
          <w:spacing w:val="-5"/>
          <w:w w:val="90"/>
          <w:sz w:val="20"/>
        </w:rPr>
        <w:t> </w:t>
      </w:r>
      <w:r>
        <w:rPr>
          <w:rFonts w:ascii="Bookman Old Style"/>
          <w:b w:val="0"/>
          <w:i/>
          <w:w w:val="90"/>
          <w:sz w:val="20"/>
        </w:rPr>
        <w:t>at</w:t>
      </w:r>
      <w:r>
        <w:rPr>
          <w:rFonts w:ascii="Bookman Old Style"/>
          <w:b w:val="0"/>
          <w:i/>
          <w:spacing w:val="-5"/>
          <w:w w:val="90"/>
          <w:sz w:val="20"/>
        </w:rPr>
        <w:t> </w:t>
      </w:r>
      <w:r>
        <w:rPr>
          <w:rFonts w:ascii="Bookman Old Style"/>
          <w:b w:val="0"/>
          <w:i/>
          <w:w w:val="90"/>
          <w:sz w:val="20"/>
        </w:rPr>
        <w:t>high</w:t>
      </w:r>
      <w:r>
        <w:rPr>
          <w:rFonts w:ascii="Bookman Old Style"/>
          <w:b w:val="0"/>
          <w:i/>
          <w:spacing w:val="-5"/>
          <w:w w:val="90"/>
          <w:sz w:val="20"/>
        </w:rPr>
        <w:t> </w:t>
      </w:r>
      <w:r>
        <w:rPr>
          <w:rFonts w:ascii="Bookman Old Style"/>
          <w:b w:val="0"/>
          <w:i/>
          <w:w w:val="90"/>
          <w:sz w:val="20"/>
        </w:rPr>
        <w:t>average</w:t>
      </w:r>
      <w:r>
        <w:rPr>
          <w:rFonts w:ascii="Bookman Old Style"/>
          <w:b w:val="0"/>
          <w:i/>
          <w:spacing w:val="-5"/>
          <w:w w:val="90"/>
          <w:sz w:val="20"/>
        </w:rPr>
        <w:t> </w:t>
      </w:r>
      <w:r>
        <w:rPr>
          <w:rFonts w:ascii="Bookman Old Style"/>
          <w:b w:val="0"/>
          <w:i/>
          <w:w w:val="90"/>
          <w:sz w:val="20"/>
        </w:rPr>
        <w:t>levels,</w:t>
      </w:r>
      <w:r>
        <w:rPr>
          <w:rFonts w:ascii="Bookman Old Style"/>
          <w:b w:val="0"/>
          <w:i/>
          <w:spacing w:val="-3"/>
          <w:w w:val="90"/>
          <w:sz w:val="20"/>
        </w:rPr>
        <w:t> </w:t>
      </w:r>
      <w:r>
        <w:rPr>
          <w:rFonts w:ascii="Bookman Old Style"/>
          <w:b w:val="0"/>
          <w:i/>
          <w:w w:val="90"/>
          <w:sz w:val="20"/>
        </w:rPr>
        <w:t>oil</w:t>
      </w:r>
      <w:r>
        <w:rPr>
          <w:rFonts w:ascii="Bookman Old Style"/>
          <w:b w:val="0"/>
          <w:i/>
          <w:spacing w:val="-5"/>
          <w:w w:val="90"/>
          <w:sz w:val="20"/>
        </w:rPr>
        <w:t> </w:t>
      </w:r>
      <w:r>
        <w:rPr>
          <w:rFonts w:ascii="Bookman Old Style"/>
          <w:b w:val="0"/>
          <w:i/>
          <w:w w:val="90"/>
          <w:sz w:val="20"/>
        </w:rPr>
        <w:t>dependent</w:t>
      </w:r>
      <w:r>
        <w:rPr>
          <w:rFonts w:ascii="Bookman Old Style"/>
          <w:b w:val="0"/>
          <w:i/>
          <w:spacing w:val="-5"/>
          <w:w w:val="90"/>
          <w:sz w:val="20"/>
        </w:rPr>
        <w:t> </w:t>
      </w:r>
      <w:r>
        <w:rPr>
          <w:rFonts w:ascii="Bookman Old Style"/>
          <w:b w:val="0"/>
          <w:i/>
          <w:w w:val="90"/>
          <w:sz w:val="20"/>
        </w:rPr>
        <w:t>states</w:t>
      </w:r>
      <w:r>
        <w:rPr>
          <w:rFonts w:ascii="Bookman Old Style"/>
          <w:b w:val="0"/>
          <w:i/>
          <w:spacing w:val="-5"/>
          <w:w w:val="90"/>
          <w:sz w:val="20"/>
        </w:rPr>
        <w:t> </w:t>
      </w:r>
      <w:r>
        <w:rPr>
          <w:rFonts w:ascii="Bookman Old Style"/>
          <w:b w:val="0"/>
          <w:i/>
          <w:w w:val="90"/>
          <w:sz w:val="20"/>
        </w:rPr>
        <w:t>will</w:t>
      </w:r>
      <w:r>
        <w:rPr>
          <w:rFonts w:ascii="Bookman Old Style"/>
          <w:b w:val="0"/>
          <w:i/>
          <w:spacing w:val="-5"/>
          <w:w w:val="90"/>
          <w:sz w:val="20"/>
        </w:rPr>
        <w:t> </w:t>
      </w:r>
      <w:r>
        <w:rPr>
          <w:rFonts w:ascii="Bookman Old Style"/>
          <w:b w:val="0"/>
          <w:i/>
          <w:w w:val="90"/>
          <w:sz w:val="20"/>
        </w:rPr>
        <w:t>have</w:t>
      </w:r>
      <w:r>
        <w:rPr>
          <w:rFonts w:ascii="Bookman Old Style"/>
          <w:b w:val="0"/>
          <w:i/>
          <w:spacing w:val="-5"/>
          <w:w w:val="90"/>
          <w:sz w:val="20"/>
        </w:rPr>
        <w:t> </w:t>
      </w:r>
      <w:r>
        <w:rPr>
          <w:rFonts w:ascii="Bookman Old Style"/>
          <w:b w:val="0"/>
          <w:i/>
          <w:w w:val="90"/>
          <w:sz w:val="20"/>
        </w:rPr>
        <w:t>higher</w:t>
      </w:r>
      <w:r>
        <w:rPr>
          <w:rFonts w:ascii="Bookman Old Style"/>
          <w:b w:val="0"/>
          <w:i/>
          <w:spacing w:val="-5"/>
          <w:w w:val="90"/>
          <w:sz w:val="20"/>
        </w:rPr>
        <w:t> </w:t>
      </w:r>
      <w:r>
        <w:rPr>
          <w:rFonts w:ascii="Bookman Old Style"/>
          <w:b w:val="0"/>
          <w:i/>
          <w:w w:val="90"/>
          <w:sz w:val="20"/>
        </w:rPr>
        <w:t>levels</w:t>
      </w:r>
      <w:r>
        <w:rPr>
          <w:rFonts w:ascii="Bookman Old Style"/>
          <w:b w:val="0"/>
          <w:i/>
          <w:spacing w:val="-5"/>
          <w:w w:val="90"/>
          <w:sz w:val="20"/>
        </w:rPr>
        <w:t> </w:t>
      </w:r>
      <w:r>
        <w:rPr>
          <w:rFonts w:ascii="Bookman Old Style"/>
          <w:b w:val="0"/>
          <w:i/>
          <w:w w:val="90"/>
          <w:sz w:val="20"/>
        </w:rPr>
        <w:t>of</w:t>
      </w:r>
      <w:r>
        <w:rPr>
          <w:rFonts w:ascii="Bookman Old Style"/>
          <w:b w:val="0"/>
          <w:i/>
          <w:spacing w:val="-5"/>
          <w:w w:val="90"/>
          <w:sz w:val="20"/>
        </w:rPr>
        <w:t> </w:t>
      </w:r>
      <w:r>
        <w:rPr>
          <w:rFonts w:ascii="Bookman Old Style"/>
          <w:b w:val="0"/>
          <w:i/>
          <w:w w:val="90"/>
          <w:sz w:val="20"/>
        </w:rPr>
        <w:t>military</w:t>
      </w:r>
      <w:r>
        <w:rPr>
          <w:rFonts w:ascii="Bookman Old Style"/>
          <w:b w:val="0"/>
          <w:i/>
          <w:w w:val="90"/>
          <w:sz w:val="20"/>
        </w:rPr>
        <w:t> </w:t>
      </w:r>
      <w:r>
        <w:rPr>
          <w:rFonts w:ascii="Bookman Old Style"/>
          <w:b w:val="0"/>
          <w:i/>
          <w:spacing w:val="-6"/>
          <w:sz w:val="20"/>
        </w:rPr>
        <w:t>expenditures</w:t>
      </w:r>
      <w:r>
        <w:rPr>
          <w:rFonts w:ascii="Bookman Old Style"/>
          <w:b w:val="0"/>
          <w:i/>
          <w:spacing w:val="-9"/>
          <w:sz w:val="20"/>
        </w:rPr>
        <w:t> </w:t>
      </w:r>
      <w:r>
        <w:rPr>
          <w:rFonts w:ascii="Bookman Old Style"/>
          <w:b w:val="0"/>
          <w:i/>
          <w:spacing w:val="-6"/>
          <w:sz w:val="20"/>
        </w:rPr>
        <w:t>relative</w:t>
      </w:r>
      <w:r>
        <w:rPr>
          <w:rFonts w:ascii="Bookman Old Style"/>
          <w:b w:val="0"/>
          <w:i/>
          <w:spacing w:val="-9"/>
          <w:sz w:val="20"/>
        </w:rPr>
        <w:t> </w:t>
      </w:r>
      <w:r>
        <w:rPr>
          <w:rFonts w:ascii="Bookman Old Style"/>
          <w:b w:val="0"/>
          <w:i/>
          <w:spacing w:val="-6"/>
          <w:sz w:val="20"/>
        </w:rPr>
        <w:t>to</w:t>
      </w:r>
      <w:r>
        <w:rPr>
          <w:rFonts w:ascii="Bookman Old Style"/>
          <w:b w:val="0"/>
          <w:i/>
          <w:spacing w:val="-9"/>
          <w:sz w:val="20"/>
        </w:rPr>
        <w:t> </w:t>
      </w:r>
      <w:r>
        <w:rPr>
          <w:rFonts w:ascii="Bookman Old Style"/>
          <w:b w:val="0"/>
          <w:i/>
          <w:spacing w:val="-6"/>
          <w:sz w:val="20"/>
        </w:rPr>
        <w:t>periods</w:t>
      </w:r>
      <w:r>
        <w:rPr>
          <w:rFonts w:ascii="Bookman Old Style"/>
          <w:b w:val="0"/>
          <w:i/>
          <w:spacing w:val="-9"/>
          <w:sz w:val="20"/>
        </w:rPr>
        <w:t> </w:t>
      </w:r>
      <w:r>
        <w:rPr>
          <w:rFonts w:ascii="Bookman Old Style"/>
          <w:b w:val="0"/>
          <w:i/>
          <w:spacing w:val="-6"/>
          <w:sz w:val="20"/>
        </w:rPr>
        <w:t>of</w:t>
      </w:r>
      <w:r>
        <w:rPr>
          <w:rFonts w:ascii="Bookman Old Style"/>
          <w:b w:val="0"/>
          <w:i/>
          <w:spacing w:val="-9"/>
          <w:sz w:val="20"/>
        </w:rPr>
        <w:t> </w:t>
      </w:r>
      <w:r>
        <w:rPr>
          <w:rFonts w:ascii="Bookman Old Style"/>
          <w:b w:val="0"/>
          <w:i/>
          <w:spacing w:val="-6"/>
          <w:sz w:val="20"/>
        </w:rPr>
        <w:t>low</w:t>
      </w:r>
      <w:r>
        <w:rPr>
          <w:rFonts w:ascii="Bookman Old Style"/>
          <w:b w:val="0"/>
          <w:i/>
          <w:spacing w:val="-9"/>
          <w:sz w:val="20"/>
        </w:rPr>
        <w:t> </w:t>
      </w:r>
      <w:r>
        <w:rPr>
          <w:rFonts w:ascii="Bookman Old Style"/>
          <w:b w:val="0"/>
          <w:i/>
          <w:spacing w:val="-6"/>
          <w:sz w:val="20"/>
        </w:rPr>
        <w:t>oil</w:t>
      </w:r>
      <w:r>
        <w:rPr>
          <w:rFonts w:ascii="Bookman Old Style"/>
          <w:b w:val="0"/>
          <w:i/>
          <w:spacing w:val="-9"/>
          <w:sz w:val="20"/>
        </w:rPr>
        <w:t> </w:t>
      </w:r>
      <w:r>
        <w:rPr>
          <w:rFonts w:ascii="Bookman Old Style"/>
          <w:b w:val="0"/>
          <w:i/>
          <w:spacing w:val="-6"/>
          <w:sz w:val="20"/>
        </w:rPr>
        <w:t>prices,</w:t>
      </w:r>
      <w:r>
        <w:rPr>
          <w:rFonts w:ascii="Bookman Old Style"/>
          <w:b w:val="0"/>
          <w:i/>
          <w:spacing w:val="-9"/>
          <w:sz w:val="20"/>
        </w:rPr>
        <w:t> </w:t>
      </w:r>
      <w:r>
        <w:rPr>
          <w:rFonts w:ascii="Bookman Old Style"/>
          <w:b w:val="0"/>
          <w:i/>
          <w:spacing w:val="-6"/>
          <w:sz w:val="20"/>
        </w:rPr>
        <w:t>all</w:t>
      </w:r>
      <w:r>
        <w:rPr>
          <w:rFonts w:ascii="Bookman Old Style"/>
          <w:b w:val="0"/>
          <w:i/>
          <w:spacing w:val="-9"/>
          <w:sz w:val="20"/>
        </w:rPr>
        <w:t> </w:t>
      </w:r>
      <w:r>
        <w:rPr>
          <w:rFonts w:ascii="Bookman Old Style"/>
          <w:b w:val="0"/>
          <w:i/>
          <w:spacing w:val="-6"/>
          <w:sz w:val="20"/>
        </w:rPr>
        <w:t>else</w:t>
      </w:r>
      <w:r>
        <w:rPr>
          <w:rFonts w:ascii="Bookman Old Style"/>
          <w:b w:val="0"/>
          <w:i/>
          <w:spacing w:val="-9"/>
          <w:sz w:val="20"/>
        </w:rPr>
        <w:t> </w:t>
      </w:r>
      <w:r>
        <w:rPr>
          <w:rFonts w:ascii="Bookman Old Style"/>
          <w:b w:val="0"/>
          <w:i/>
          <w:spacing w:val="-6"/>
          <w:sz w:val="20"/>
        </w:rPr>
        <w:t>equal.</w:t>
      </w:r>
    </w:p>
    <w:p>
      <w:pPr>
        <w:pStyle w:val="BodyText"/>
        <w:spacing w:line="316" w:lineRule="auto" w:before="149"/>
        <w:ind w:left="117" w:right="632" w:firstLine="298"/>
        <w:jc w:val="both"/>
      </w:pPr>
      <w:r>
        <w:rPr/>
        <w:t>States</w:t>
      </w:r>
      <w:r>
        <w:rPr>
          <w:spacing w:val="-13"/>
        </w:rPr>
        <w:t> </w:t>
      </w:r>
      <w:r>
        <w:rPr/>
        <w:t>can</w:t>
      </w:r>
      <w:r>
        <w:rPr>
          <w:spacing w:val="-12"/>
        </w:rPr>
        <w:t> </w:t>
      </w:r>
      <w:r>
        <w:rPr/>
        <w:t>derive</w:t>
      </w:r>
      <w:r>
        <w:rPr>
          <w:spacing w:val="-12"/>
        </w:rPr>
        <w:t> </w:t>
      </w:r>
      <w:r>
        <w:rPr/>
        <w:t>oil</w:t>
      </w:r>
      <w:r>
        <w:rPr>
          <w:spacing w:val="-12"/>
        </w:rPr>
        <w:t> </w:t>
      </w:r>
      <w:r>
        <w:rPr/>
        <w:t>rents</w:t>
      </w:r>
      <w:r>
        <w:rPr>
          <w:spacing w:val="-12"/>
        </w:rPr>
        <w:t> </w:t>
      </w:r>
      <w:r>
        <w:rPr/>
        <w:t>from</w:t>
      </w:r>
      <w:r>
        <w:rPr>
          <w:spacing w:val="-12"/>
        </w:rPr>
        <w:t> </w:t>
      </w:r>
      <w:r>
        <w:rPr/>
        <w:t>a</w:t>
      </w:r>
      <w:r>
        <w:rPr>
          <w:spacing w:val="-12"/>
        </w:rPr>
        <w:t> </w:t>
      </w:r>
      <w:r>
        <w:rPr/>
        <w:t>variety</w:t>
      </w:r>
      <w:r>
        <w:rPr>
          <w:spacing w:val="-12"/>
        </w:rPr>
        <w:t> </w:t>
      </w:r>
      <w:r>
        <w:rPr/>
        <w:t>of</w:t>
      </w:r>
      <w:r>
        <w:rPr>
          <w:spacing w:val="-12"/>
        </w:rPr>
        <w:t> </w:t>
      </w:r>
      <w:r>
        <w:rPr/>
        <w:t>sources,</w:t>
      </w:r>
      <w:r>
        <w:rPr>
          <w:spacing w:val="-12"/>
        </w:rPr>
        <w:t> </w:t>
      </w:r>
      <w:r>
        <w:rPr/>
        <w:t>such</w:t>
      </w:r>
      <w:r>
        <w:rPr>
          <w:spacing w:val="-12"/>
        </w:rPr>
        <w:t> </w:t>
      </w:r>
      <w:r>
        <w:rPr/>
        <w:t>as</w:t>
      </w:r>
      <w:r>
        <w:rPr>
          <w:spacing w:val="-12"/>
        </w:rPr>
        <w:t> </w:t>
      </w:r>
      <w:r>
        <w:rPr/>
        <w:t>through</w:t>
      </w:r>
      <w:r>
        <w:rPr>
          <w:spacing w:val="-12"/>
        </w:rPr>
        <w:t> </w:t>
      </w:r>
      <w:r>
        <w:rPr/>
        <w:t>taxation</w:t>
      </w:r>
      <w:r>
        <w:rPr>
          <w:spacing w:val="-12"/>
        </w:rPr>
        <w:t> </w:t>
      </w:r>
      <w:r>
        <w:rPr/>
        <w:t>or</w:t>
      </w:r>
      <w:r>
        <w:rPr>
          <w:spacing w:val="-12"/>
        </w:rPr>
        <w:t> </w:t>
      </w:r>
      <w:r>
        <w:rPr/>
        <w:t>the</w:t>
      </w:r>
      <w:r>
        <w:rPr>
          <w:spacing w:val="-12"/>
        </w:rPr>
        <w:t> </w:t>
      </w:r>
      <w:r>
        <w:rPr/>
        <w:t>capture</w:t>
      </w:r>
      <w:r>
        <w:rPr>
          <w:spacing w:val="-13"/>
        </w:rPr>
        <w:t> </w:t>
      </w:r>
      <w:r>
        <w:rPr/>
        <w:t>of</w:t>
      </w:r>
      <w:r>
        <w:rPr>
          <w:spacing w:val="-12"/>
        </w:rPr>
        <w:t> </w:t>
      </w:r>
      <w:r>
        <w:rPr/>
        <w:t>profits through state-owned enterprises.</w:t>
      </w:r>
      <w:r>
        <w:rPr>
          <w:spacing w:val="28"/>
        </w:rPr>
        <w:t> </w:t>
      </w:r>
      <w:r>
        <w:rPr/>
        <w:t>Depending on the time of year and how the state budgeting process works, the impacts from a positive or negative shock to revenue could happen in the same year, or the following</w:t>
      </w:r>
      <w:r>
        <w:rPr>
          <w:spacing w:val="-13"/>
        </w:rPr>
        <w:t> </w:t>
      </w:r>
      <w:r>
        <w:rPr/>
        <w:t>year.</w:t>
      </w:r>
      <w:r>
        <w:rPr>
          <w:spacing w:val="-12"/>
        </w:rPr>
        <w:t> </w:t>
      </w:r>
      <w:r>
        <w:rPr/>
        <w:t>We</w:t>
      </w:r>
      <w:r>
        <w:rPr>
          <w:spacing w:val="-12"/>
        </w:rPr>
        <w:t> </w:t>
      </w:r>
      <w:r>
        <w:rPr/>
        <w:t>examine</w:t>
      </w:r>
      <w:r>
        <w:rPr>
          <w:spacing w:val="-12"/>
        </w:rPr>
        <w:t> </w:t>
      </w:r>
      <w:r>
        <w:rPr/>
        <w:t>both</w:t>
      </w:r>
      <w:r>
        <w:rPr>
          <w:spacing w:val="-12"/>
        </w:rPr>
        <w:t> </w:t>
      </w:r>
      <w:r>
        <w:rPr/>
        <w:t>scenarios</w:t>
      </w:r>
      <w:r>
        <w:rPr>
          <w:spacing w:val="-12"/>
        </w:rPr>
        <w:t> </w:t>
      </w:r>
      <w:r>
        <w:rPr/>
        <w:t>by</w:t>
      </w:r>
      <w:r>
        <w:rPr>
          <w:spacing w:val="-12"/>
        </w:rPr>
        <w:t> </w:t>
      </w:r>
      <w:r>
        <w:rPr/>
        <w:t>testing</w:t>
      </w:r>
      <w:r>
        <w:rPr>
          <w:spacing w:val="-12"/>
        </w:rPr>
        <w:t> </w:t>
      </w:r>
      <w:r>
        <w:rPr/>
        <w:t>lag</w:t>
      </w:r>
      <w:r>
        <w:rPr>
          <w:spacing w:val="-12"/>
        </w:rPr>
        <w:t> </w:t>
      </w:r>
      <w:r>
        <w:rPr/>
        <w:t>variables</w:t>
      </w:r>
      <w:r>
        <w:rPr>
          <w:spacing w:val="-12"/>
        </w:rPr>
        <w:t> </w:t>
      </w:r>
      <w:r>
        <w:rPr/>
        <w:t>for</w:t>
      </w:r>
      <w:r>
        <w:rPr>
          <w:spacing w:val="-12"/>
        </w:rPr>
        <w:t> </w:t>
      </w:r>
      <w:r>
        <w:rPr/>
        <w:t>both</w:t>
      </w:r>
      <w:r>
        <w:rPr>
          <w:spacing w:val="-12"/>
        </w:rPr>
        <w:t> </w:t>
      </w:r>
      <w:r>
        <w:rPr/>
        <w:t>H1</w:t>
      </w:r>
      <w:r>
        <w:rPr>
          <w:spacing w:val="-12"/>
        </w:rPr>
        <w:t> </w:t>
      </w:r>
      <w:r>
        <w:rPr/>
        <w:t>and</w:t>
      </w:r>
      <w:r>
        <w:rPr>
          <w:spacing w:val="-12"/>
        </w:rPr>
        <w:t> </w:t>
      </w:r>
      <w:r>
        <w:rPr/>
        <w:t>H2.</w:t>
      </w:r>
      <w:r>
        <w:rPr>
          <w:spacing w:val="-12"/>
        </w:rPr>
        <w:t> </w:t>
      </w:r>
      <w:r>
        <w:rPr/>
        <w:t>This</w:t>
      </w:r>
      <w:r>
        <w:rPr>
          <w:spacing w:val="-12"/>
        </w:rPr>
        <w:t> </w:t>
      </w:r>
      <w:r>
        <w:rPr/>
        <w:t>is</w:t>
      </w:r>
      <w:r>
        <w:rPr>
          <w:spacing w:val="-13"/>
        </w:rPr>
        <w:t> </w:t>
      </w:r>
      <w:r>
        <w:rPr/>
        <w:t>discussed in more detail in the proceeding sections.</w:t>
      </w:r>
    </w:p>
    <w:p>
      <w:pPr>
        <w:pStyle w:val="BodyText"/>
        <w:spacing w:line="314" w:lineRule="auto" w:before="136"/>
        <w:ind w:left="117" w:right="633" w:firstLine="298"/>
        <w:jc w:val="both"/>
      </w:pPr>
      <w:r>
        <w:rPr/>
        <w:t>Lastly, we propose to link this measure of state capacity; military expenditures, with the primary dependent variable from H1; battle deaths.</w:t>
      </w:r>
      <w:r>
        <w:rPr>
          <w:spacing w:val="40"/>
        </w:rPr>
        <w:t> </w:t>
      </w:r>
      <w:r>
        <w:rPr/>
        <w:t>When state military expenditures are higher, this should reduce</w:t>
      </w:r>
      <w:r>
        <w:rPr>
          <w:spacing w:val="-5"/>
        </w:rPr>
        <w:t> </w:t>
      </w:r>
      <w:r>
        <w:rPr/>
        <w:t>the</w:t>
      </w:r>
      <w:r>
        <w:rPr>
          <w:spacing w:val="-5"/>
        </w:rPr>
        <w:t> </w:t>
      </w:r>
      <w:r>
        <w:rPr/>
        <w:t>number</w:t>
      </w:r>
      <w:r>
        <w:rPr>
          <w:spacing w:val="-5"/>
        </w:rPr>
        <w:t> </w:t>
      </w:r>
      <w:r>
        <w:rPr/>
        <w:t>of</w:t>
      </w:r>
      <w:r>
        <w:rPr>
          <w:spacing w:val="-5"/>
        </w:rPr>
        <w:t> </w:t>
      </w:r>
      <w:r>
        <w:rPr/>
        <w:t>battle</w:t>
      </w:r>
      <w:r>
        <w:rPr>
          <w:spacing w:val="-5"/>
        </w:rPr>
        <w:t> </w:t>
      </w:r>
      <w:r>
        <w:rPr/>
        <w:t>deaths</w:t>
      </w:r>
      <w:r>
        <w:rPr>
          <w:spacing w:val="-5"/>
        </w:rPr>
        <w:t> </w:t>
      </w:r>
      <w:r>
        <w:rPr/>
        <w:t>from</w:t>
      </w:r>
      <w:r>
        <w:rPr>
          <w:spacing w:val="-5"/>
        </w:rPr>
        <w:t> </w:t>
      </w:r>
      <w:r>
        <w:rPr/>
        <w:t>civil</w:t>
      </w:r>
      <w:r>
        <w:rPr>
          <w:spacing w:val="-5"/>
        </w:rPr>
        <w:t> </w:t>
      </w:r>
      <w:r>
        <w:rPr/>
        <w:t>conflict</w:t>
      </w:r>
      <w:r>
        <w:rPr>
          <w:spacing w:val="-5"/>
        </w:rPr>
        <w:t> </w:t>
      </w:r>
      <w:r>
        <w:rPr/>
        <w:t>as</w:t>
      </w:r>
      <w:r>
        <w:rPr>
          <w:spacing w:val="-5"/>
        </w:rPr>
        <w:t> </w:t>
      </w:r>
      <w:r>
        <w:rPr/>
        <w:t>the</w:t>
      </w:r>
      <w:r>
        <w:rPr>
          <w:spacing w:val="-5"/>
        </w:rPr>
        <w:t> </w:t>
      </w:r>
      <w:r>
        <w:rPr/>
        <w:t>security</w:t>
      </w:r>
      <w:r>
        <w:rPr>
          <w:spacing w:val="-5"/>
        </w:rPr>
        <w:t> </w:t>
      </w:r>
      <w:r>
        <w:rPr/>
        <w:t>environment</w:t>
      </w:r>
      <w:r>
        <w:rPr>
          <w:spacing w:val="-5"/>
        </w:rPr>
        <w:t> </w:t>
      </w:r>
      <w:r>
        <w:rPr/>
        <w:t>improves.</w:t>
      </w:r>
      <w:r>
        <w:rPr>
          <w:spacing w:val="14"/>
        </w:rPr>
        <w:t> </w:t>
      </w:r>
      <w:r>
        <w:rPr/>
        <w:t>However, the relationship between these variable is complex and may be nonlinear.</w:t>
      </w:r>
      <w:r>
        <w:rPr>
          <w:spacing w:val="40"/>
        </w:rPr>
        <w:t> </w:t>
      </w:r>
      <w:r>
        <w:rPr/>
        <w:t>For example, increases in military</w:t>
      </w:r>
      <w:r>
        <w:rPr>
          <w:spacing w:val="-8"/>
        </w:rPr>
        <w:t> </w:t>
      </w:r>
      <w:r>
        <w:rPr/>
        <w:t>capacity</w:t>
      </w:r>
      <w:r>
        <w:rPr>
          <w:spacing w:val="-9"/>
        </w:rPr>
        <w:t> </w:t>
      </w:r>
      <w:r>
        <w:rPr/>
        <w:t>may</w:t>
      </w:r>
      <w:r>
        <w:rPr>
          <w:spacing w:val="-9"/>
        </w:rPr>
        <w:t> </w:t>
      </w:r>
      <w:r>
        <w:rPr/>
        <w:t>lead</w:t>
      </w:r>
      <w:r>
        <w:rPr>
          <w:spacing w:val="-8"/>
        </w:rPr>
        <w:t> </w:t>
      </w:r>
      <w:r>
        <w:rPr/>
        <w:t>to</w:t>
      </w:r>
      <w:r>
        <w:rPr>
          <w:spacing w:val="-8"/>
        </w:rPr>
        <w:t> </w:t>
      </w:r>
      <w:r>
        <w:rPr/>
        <w:t>“crackdowns”</w:t>
      </w:r>
      <w:r>
        <w:rPr>
          <w:spacing w:val="-9"/>
        </w:rPr>
        <w:t> </w:t>
      </w:r>
      <w:r>
        <w:rPr/>
        <w:t>that</w:t>
      </w:r>
      <w:r>
        <w:rPr>
          <w:spacing w:val="-9"/>
        </w:rPr>
        <w:t> </w:t>
      </w:r>
      <w:r>
        <w:rPr/>
        <w:t>temporarily</w:t>
      </w:r>
      <w:r>
        <w:rPr>
          <w:spacing w:val="-9"/>
        </w:rPr>
        <w:t> </w:t>
      </w:r>
      <w:r>
        <w:rPr/>
        <w:t>lead</w:t>
      </w:r>
      <w:r>
        <w:rPr>
          <w:spacing w:val="-9"/>
        </w:rPr>
        <w:t> </w:t>
      </w:r>
      <w:r>
        <w:rPr/>
        <w:t>to</w:t>
      </w:r>
      <w:r>
        <w:rPr>
          <w:spacing w:val="-8"/>
        </w:rPr>
        <w:t> </w:t>
      </w:r>
      <w:r>
        <w:rPr>
          <w:rFonts w:ascii="Bookman Old Style" w:hAnsi="Bookman Old Style"/>
          <w:b w:val="0"/>
          <w:i/>
        </w:rPr>
        <w:t>higher</w:t>
      </w:r>
      <w:r>
        <w:rPr>
          <w:rFonts w:ascii="Bookman Old Style" w:hAnsi="Bookman Old Style"/>
          <w:b w:val="0"/>
          <w:i/>
          <w:spacing w:val="-5"/>
        </w:rPr>
        <w:t> </w:t>
      </w:r>
      <w:r>
        <w:rPr/>
        <w:t>battle</w:t>
      </w:r>
      <w:r>
        <w:rPr>
          <w:spacing w:val="-8"/>
        </w:rPr>
        <w:t> </w:t>
      </w:r>
      <w:r>
        <w:rPr/>
        <w:t>deaths.</w:t>
      </w:r>
      <w:r>
        <w:rPr>
          <w:spacing w:val="10"/>
        </w:rPr>
        <w:t> </w:t>
      </w:r>
      <w:r>
        <w:rPr/>
        <w:t>However,</w:t>
      </w:r>
      <w:r>
        <w:rPr>
          <w:spacing w:val="-7"/>
        </w:rPr>
        <w:t> </w:t>
      </w:r>
      <w:r>
        <w:rPr/>
        <w:t>for most states in civil conflict, we predict that this relationship will be negative.</w:t>
      </w:r>
    </w:p>
    <w:p>
      <w:pPr>
        <w:spacing w:line="304" w:lineRule="auto" w:before="134"/>
        <w:ind w:left="117" w:right="634" w:firstLine="298"/>
        <w:jc w:val="both"/>
        <w:rPr>
          <w:rFonts w:ascii="Bookman Old Style" w:hAnsi="Bookman Old Style"/>
          <w:b w:val="0"/>
          <w:i/>
          <w:sz w:val="20"/>
        </w:rPr>
      </w:pPr>
      <w:r>
        <w:rPr>
          <w:rFonts w:ascii="Bookman Old Style" w:hAnsi="Bookman Old Style"/>
          <w:b w:val="0"/>
          <w:i/>
          <w:w w:val="90"/>
          <w:sz w:val="20"/>
        </w:rPr>
        <w:t>H3:</w:t>
      </w:r>
      <w:r>
        <w:rPr>
          <w:rFonts w:ascii="Bookman Old Style" w:hAnsi="Bookman Old Style"/>
          <w:b w:val="0"/>
          <w:i/>
          <w:sz w:val="20"/>
        </w:rPr>
        <w:t> </w:t>
      </w:r>
      <w:r>
        <w:rPr>
          <w:rFonts w:ascii="Bookman Old Style" w:hAnsi="Bookman Old Style"/>
          <w:b w:val="0"/>
          <w:i/>
          <w:w w:val="90"/>
          <w:sz w:val="20"/>
        </w:rPr>
        <w:t>When</w:t>
      </w:r>
      <w:r>
        <w:rPr>
          <w:rFonts w:ascii="Bookman Old Style" w:hAnsi="Bookman Old Style"/>
          <w:b w:val="0"/>
          <w:i/>
          <w:spacing w:val="-3"/>
          <w:w w:val="90"/>
          <w:sz w:val="20"/>
        </w:rPr>
        <w:t> </w:t>
      </w:r>
      <w:r>
        <w:rPr>
          <w:rFonts w:ascii="Bookman Old Style" w:hAnsi="Bookman Old Style"/>
          <w:b w:val="0"/>
          <w:i/>
          <w:w w:val="90"/>
          <w:sz w:val="20"/>
        </w:rPr>
        <w:t>oil</w:t>
      </w:r>
      <w:r>
        <w:rPr>
          <w:rFonts w:ascii="Bookman Old Style" w:hAnsi="Bookman Old Style"/>
          <w:b w:val="0"/>
          <w:i/>
          <w:spacing w:val="-3"/>
          <w:w w:val="90"/>
          <w:sz w:val="20"/>
        </w:rPr>
        <w:t> </w:t>
      </w:r>
      <w:r>
        <w:rPr>
          <w:rFonts w:ascii="Bookman Old Style" w:hAnsi="Bookman Old Style"/>
          <w:b w:val="0"/>
          <w:i/>
          <w:w w:val="90"/>
          <w:sz w:val="20"/>
        </w:rPr>
        <w:t>dependent</w:t>
      </w:r>
      <w:r>
        <w:rPr>
          <w:rFonts w:ascii="Bookman Old Style" w:hAnsi="Bookman Old Style"/>
          <w:b w:val="0"/>
          <w:i/>
          <w:spacing w:val="-3"/>
          <w:w w:val="90"/>
          <w:sz w:val="20"/>
        </w:rPr>
        <w:t> </w:t>
      </w:r>
      <w:r>
        <w:rPr>
          <w:rFonts w:ascii="Bookman Old Style" w:hAnsi="Bookman Old Style"/>
          <w:b w:val="0"/>
          <w:i/>
          <w:w w:val="90"/>
          <w:sz w:val="20"/>
        </w:rPr>
        <w:t>conflict</w:t>
      </w:r>
      <w:r>
        <w:rPr>
          <w:rFonts w:ascii="Bookman Old Style" w:hAnsi="Bookman Old Style"/>
          <w:b w:val="0"/>
          <w:i/>
          <w:spacing w:val="-3"/>
          <w:w w:val="90"/>
          <w:sz w:val="20"/>
        </w:rPr>
        <w:t> </w:t>
      </w:r>
      <w:r>
        <w:rPr>
          <w:rFonts w:ascii="Bookman Old Style" w:hAnsi="Bookman Old Style"/>
          <w:b w:val="0"/>
          <w:i/>
          <w:w w:val="90"/>
          <w:sz w:val="20"/>
        </w:rPr>
        <w:t>states</w:t>
      </w:r>
      <w:r>
        <w:rPr>
          <w:rFonts w:ascii="Bookman Old Style" w:hAnsi="Bookman Old Style"/>
          <w:b w:val="0"/>
          <w:i/>
          <w:spacing w:val="-3"/>
          <w:w w:val="90"/>
          <w:sz w:val="20"/>
        </w:rPr>
        <w:t> </w:t>
      </w:r>
      <w:r>
        <w:rPr>
          <w:rFonts w:ascii="Bookman Old Style" w:hAnsi="Bookman Old Style"/>
          <w:b w:val="0"/>
          <w:i/>
          <w:w w:val="90"/>
          <w:sz w:val="20"/>
        </w:rPr>
        <w:t>have</w:t>
      </w:r>
      <w:r>
        <w:rPr>
          <w:rFonts w:ascii="Bookman Old Style" w:hAnsi="Bookman Old Style"/>
          <w:b w:val="0"/>
          <w:i/>
          <w:spacing w:val="-3"/>
          <w:w w:val="90"/>
          <w:sz w:val="20"/>
        </w:rPr>
        <w:t> </w:t>
      </w:r>
      <w:r>
        <w:rPr>
          <w:rFonts w:ascii="Bookman Old Style" w:hAnsi="Bookman Old Style"/>
          <w:b w:val="0"/>
          <w:i/>
          <w:w w:val="90"/>
          <w:sz w:val="20"/>
        </w:rPr>
        <w:t>higher</w:t>
      </w:r>
      <w:r>
        <w:rPr>
          <w:rFonts w:ascii="Bookman Old Style" w:hAnsi="Bookman Old Style"/>
          <w:b w:val="0"/>
          <w:i/>
          <w:spacing w:val="-3"/>
          <w:w w:val="90"/>
          <w:sz w:val="20"/>
        </w:rPr>
        <w:t> </w:t>
      </w:r>
      <w:r>
        <w:rPr>
          <w:rFonts w:ascii="Bookman Old Style" w:hAnsi="Bookman Old Style"/>
          <w:b w:val="0"/>
          <w:i/>
          <w:w w:val="90"/>
          <w:sz w:val="20"/>
        </w:rPr>
        <w:t>military</w:t>
      </w:r>
      <w:r>
        <w:rPr>
          <w:rFonts w:ascii="Bookman Old Style" w:hAnsi="Bookman Old Style"/>
          <w:b w:val="0"/>
          <w:i/>
          <w:spacing w:val="-3"/>
          <w:w w:val="90"/>
          <w:sz w:val="20"/>
        </w:rPr>
        <w:t> </w:t>
      </w:r>
      <w:r>
        <w:rPr>
          <w:rFonts w:ascii="Bookman Old Style" w:hAnsi="Bookman Old Style"/>
          <w:b w:val="0"/>
          <w:i/>
          <w:w w:val="90"/>
          <w:sz w:val="20"/>
        </w:rPr>
        <w:t>expenditures,</w:t>
      </w:r>
      <w:r>
        <w:rPr>
          <w:rFonts w:ascii="Bookman Old Style" w:hAnsi="Bookman Old Style"/>
          <w:b w:val="0"/>
          <w:i/>
          <w:spacing w:val="-2"/>
          <w:w w:val="90"/>
          <w:sz w:val="20"/>
        </w:rPr>
        <w:t> </w:t>
      </w:r>
      <w:r>
        <w:rPr>
          <w:rFonts w:ascii="Bookman Old Style" w:hAnsi="Bookman Old Style"/>
          <w:b w:val="0"/>
          <w:i/>
          <w:w w:val="90"/>
          <w:sz w:val="20"/>
        </w:rPr>
        <w:t>this</w:t>
      </w:r>
      <w:r>
        <w:rPr>
          <w:rFonts w:ascii="Bookman Old Style" w:hAnsi="Bookman Old Style"/>
          <w:b w:val="0"/>
          <w:i/>
          <w:spacing w:val="-3"/>
          <w:w w:val="90"/>
          <w:sz w:val="20"/>
        </w:rPr>
        <w:t> </w:t>
      </w:r>
      <w:r>
        <w:rPr>
          <w:rFonts w:ascii="Bookman Old Style" w:hAnsi="Bookman Old Style"/>
          <w:b w:val="0"/>
          <w:i/>
          <w:w w:val="90"/>
          <w:sz w:val="20"/>
        </w:rPr>
        <w:t>will</w:t>
      </w:r>
      <w:r>
        <w:rPr>
          <w:rFonts w:ascii="Bookman Old Style" w:hAnsi="Bookman Old Style"/>
          <w:b w:val="0"/>
          <w:i/>
          <w:spacing w:val="-3"/>
          <w:w w:val="90"/>
          <w:sz w:val="20"/>
        </w:rPr>
        <w:t> </w:t>
      </w:r>
      <w:r>
        <w:rPr>
          <w:rFonts w:ascii="Bookman Old Style" w:hAnsi="Bookman Old Style"/>
          <w:b w:val="0"/>
          <w:i/>
          <w:w w:val="90"/>
          <w:sz w:val="20"/>
        </w:rPr>
        <w:t>be</w:t>
      </w:r>
      <w:r>
        <w:rPr>
          <w:rFonts w:ascii="Bookman Old Style" w:hAnsi="Bookman Old Style"/>
          <w:b w:val="0"/>
          <w:i/>
          <w:spacing w:val="-3"/>
          <w:w w:val="90"/>
          <w:sz w:val="20"/>
        </w:rPr>
        <w:t> </w:t>
      </w:r>
      <w:r>
        <w:rPr>
          <w:rFonts w:ascii="Bookman Old Style" w:hAnsi="Bookman Old Style"/>
          <w:b w:val="0"/>
          <w:i/>
          <w:w w:val="90"/>
          <w:sz w:val="20"/>
        </w:rPr>
        <w:t>correlated</w:t>
      </w:r>
      <w:r>
        <w:rPr>
          <w:rFonts w:ascii="Bookman Old Style" w:hAnsi="Bookman Old Style"/>
          <w:b w:val="0"/>
          <w:i/>
          <w:spacing w:val="-3"/>
          <w:w w:val="90"/>
          <w:sz w:val="20"/>
        </w:rPr>
        <w:t> </w:t>
      </w:r>
      <w:r>
        <w:rPr>
          <w:rFonts w:ascii="Bookman Old Style" w:hAnsi="Bookman Old Style"/>
          <w:b w:val="0"/>
          <w:i/>
          <w:w w:val="90"/>
          <w:sz w:val="20"/>
        </w:rPr>
        <w:t>with</w:t>
      </w:r>
      <w:r>
        <w:rPr>
          <w:rFonts w:ascii="Bookman Old Style" w:hAnsi="Bookman Old Style"/>
          <w:b w:val="0"/>
          <w:i/>
          <w:w w:val="90"/>
          <w:sz w:val="20"/>
        </w:rPr>
        <w:t> a decrease in combat fatalities, i.e.</w:t>
      </w:r>
      <w:r>
        <w:rPr>
          <w:rFonts w:ascii="Bookman Old Style" w:hAnsi="Bookman Old Style"/>
          <w:b w:val="0"/>
          <w:i/>
          <w:sz w:val="20"/>
        </w:rPr>
        <w:t> </w:t>
      </w:r>
      <w:r>
        <w:rPr>
          <w:rFonts w:ascii="Bookman Old Style" w:hAnsi="Bookman Old Style"/>
          <w:b w:val="0"/>
          <w:i/>
          <w:w w:val="90"/>
          <w:sz w:val="20"/>
        </w:rPr>
        <w:t>“battle deaths”, relative to when military expenditures are lower, all </w:t>
      </w:r>
      <w:r>
        <w:rPr>
          <w:rFonts w:ascii="Bookman Old Style" w:hAnsi="Bookman Old Style"/>
          <w:b w:val="0"/>
          <w:i/>
          <w:sz w:val="20"/>
        </w:rPr>
        <w:t>else equal.</w:t>
      </w:r>
    </w:p>
    <w:p>
      <w:pPr>
        <w:pStyle w:val="BodyText"/>
        <w:spacing w:line="316" w:lineRule="auto" w:before="149"/>
        <w:ind w:left="117" w:right="634" w:firstLine="298"/>
        <w:jc w:val="both"/>
      </w:pPr>
      <w:r>
        <w:rPr/>
        <w:t>One way we choose to examine this possibility of a nonlinear effect is by splitting the sample along the lines of conflict intensity.</w:t>
      </w:r>
      <w:r>
        <w:rPr>
          <w:spacing w:val="40"/>
        </w:rPr>
        <w:t> </w:t>
      </w:r>
      <w:r>
        <w:rPr/>
        <w:t>This is discussed in greater detail in the proceeding sections.</w:t>
      </w:r>
      <w:r>
        <w:rPr>
          <w:spacing w:val="40"/>
        </w:rPr>
        <w:t> </w:t>
      </w:r>
      <w:r>
        <w:rPr/>
        <w:t>We also explore</w:t>
      </w:r>
      <w:r>
        <w:rPr>
          <w:spacing w:val="-1"/>
        </w:rPr>
        <w:t> </w:t>
      </w:r>
      <w:r>
        <w:rPr/>
        <w:t>a</w:t>
      </w:r>
      <w:r>
        <w:rPr>
          <w:spacing w:val="-1"/>
        </w:rPr>
        <w:t> </w:t>
      </w:r>
      <w:r>
        <w:rPr/>
        <w:t>key</w:t>
      </w:r>
      <w:r>
        <w:rPr>
          <w:spacing w:val="-1"/>
        </w:rPr>
        <w:t> </w:t>
      </w:r>
      <w:r>
        <w:rPr/>
        <w:t>case</w:t>
      </w:r>
      <w:r>
        <w:rPr>
          <w:spacing w:val="-1"/>
        </w:rPr>
        <w:t> </w:t>
      </w:r>
      <w:r>
        <w:rPr/>
        <w:t>study</w:t>
      </w:r>
      <w:r>
        <w:rPr>
          <w:spacing w:val="-1"/>
        </w:rPr>
        <w:t> </w:t>
      </w:r>
      <w:r>
        <w:rPr/>
        <w:t>which</w:t>
      </w:r>
      <w:r>
        <w:rPr>
          <w:spacing w:val="-1"/>
        </w:rPr>
        <w:t> </w:t>
      </w:r>
      <w:r>
        <w:rPr/>
        <w:t>helps</w:t>
      </w:r>
      <w:r>
        <w:rPr>
          <w:spacing w:val="-1"/>
        </w:rPr>
        <w:t> </w:t>
      </w:r>
      <w:r>
        <w:rPr/>
        <w:t>illustrate</w:t>
      </w:r>
      <w:r>
        <w:rPr>
          <w:spacing w:val="-1"/>
        </w:rPr>
        <w:t> </w:t>
      </w:r>
      <w:r>
        <w:rPr/>
        <w:t>the</w:t>
      </w:r>
      <w:r>
        <w:rPr>
          <w:spacing w:val="-1"/>
        </w:rPr>
        <w:t> </w:t>
      </w:r>
      <w:r>
        <w:rPr/>
        <w:t>dynamics</w:t>
      </w:r>
      <w:r>
        <w:rPr>
          <w:spacing w:val="-1"/>
        </w:rPr>
        <w:t> </w:t>
      </w:r>
      <w:r>
        <w:rPr/>
        <w:t>we</w:t>
      </w:r>
      <w:r>
        <w:rPr>
          <w:spacing w:val="-1"/>
        </w:rPr>
        <w:t> </w:t>
      </w:r>
      <w:r>
        <w:rPr/>
        <w:t>propose</w:t>
      </w:r>
      <w:r>
        <w:rPr>
          <w:spacing w:val="-1"/>
        </w:rPr>
        <w:t> </w:t>
      </w:r>
      <w:r>
        <w:rPr/>
        <w:t>around</w:t>
      </w:r>
      <w:r>
        <w:rPr>
          <w:spacing w:val="-1"/>
        </w:rPr>
        <w:t> </w:t>
      </w:r>
      <w:r>
        <w:rPr/>
        <w:t>military</w:t>
      </w:r>
      <w:r>
        <w:rPr>
          <w:spacing w:val="-1"/>
        </w:rPr>
        <w:t> </w:t>
      </w:r>
      <w:r>
        <w:rPr/>
        <w:t>expenditures and civil conflict.</w:t>
      </w:r>
    </w:p>
    <w:p>
      <w:pPr>
        <w:pStyle w:val="BodyText"/>
      </w:pPr>
    </w:p>
    <w:p>
      <w:pPr>
        <w:pStyle w:val="Heading1"/>
        <w:numPr>
          <w:ilvl w:val="0"/>
          <w:numId w:val="1"/>
        </w:numPr>
        <w:tabs>
          <w:tab w:pos="601" w:val="left" w:leader="none"/>
          <w:tab w:pos="602" w:val="left" w:leader="none"/>
        </w:tabs>
        <w:spacing w:line="240" w:lineRule="auto" w:before="144" w:after="0"/>
        <w:ind w:left="601" w:right="0" w:hanging="485"/>
        <w:jc w:val="left"/>
      </w:pPr>
      <w:r>
        <w:rPr>
          <w:spacing w:val="-4"/>
        </w:rPr>
        <w:t>Data</w:t>
      </w:r>
    </w:p>
    <w:p>
      <w:pPr>
        <w:pStyle w:val="BodyText"/>
        <w:spacing w:line="312" w:lineRule="auto" w:before="251"/>
        <w:ind w:left="117" w:right="633" w:firstLine="298"/>
        <w:jc w:val="both"/>
      </w:pPr>
      <w:r>
        <w:rPr/>
        <w:pict>
          <v:shape style="position:absolute;margin-left:70.865997pt;margin-top:89.526917pt;width:179.75pt;height:.1pt;mso-position-horizontal-relative:page;mso-position-vertical-relative:paragraph;z-index:-15725568;mso-wrap-distance-left:0;mso-wrap-distance-right:0" id="docshape9" coordorigin="1417,1791" coordsize="3595,0" path="m1417,1791l5012,1791e" filled="false" stroked="true" strokeweight=".398pt" strokecolor="#000000">
            <v:path arrowok="t"/>
            <v:stroke dashstyle="solid"/>
            <w10:wrap type="topAndBottom"/>
          </v:shape>
        </w:pict>
      </w:r>
      <w:r>
        <w:rPr/>
        <w:t>We consider 67 conflict states with varying degrees of oil dependence from 1989-2019.</w:t>
      </w:r>
      <w:r>
        <w:rPr>
          <w:spacing w:val="36"/>
        </w:rPr>
        <w:t> </w:t>
      </w:r>
      <w:r>
        <w:rPr/>
        <w:t>Since gov- ernment budgets do not fluctuate by the day like oil prices, an average over a longer term is the most appropriate</w:t>
      </w:r>
      <w:r>
        <w:rPr>
          <w:spacing w:val="-11"/>
        </w:rPr>
        <w:t> </w:t>
      </w:r>
      <w:r>
        <w:rPr/>
        <w:t>measure,</w:t>
      </w:r>
      <w:r>
        <w:rPr>
          <w:spacing w:val="-10"/>
        </w:rPr>
        <w:t> </w:t>
      </w:r>
      <w:r>
        <w:rPr/>
        <w:t>thus</w:t>
      </w:r>
      <w:r>
        <w:rPr>
          <w:spacing w:val="-11"/>
        </w:rPr>
        <w:t> </w:t>
      </w:r>
      <w:r>
        <w:rPr/>
        <w:t>our</w:t>
      </w:r>
      <w:r>
        <w:rPr>
          <w:spacing w:val="-11"/>
        </w:rPr>
        <w:t> </w:t>
      </w:r>
      <w:r>
        <w:rPr/>
        <w:t>unit</w:t>
      </w:r>
      <w:r>
        <w:rPr>
          <w:spacing w:val="-11"/>
        </w:rPr>
        <w:t> </w:t>
      </w:r>
      <w:r>
        <w:rPr/>
        <w:t>of</w:t>
      </w:r>
      <w:r>
        <w:rPr>
          <w:spacing w:val="-11"/>
        </w:rPr>
        <w:t> </w:t>
      </w:r>
      <w:r>
        <w:rPr/>
        <w:t>analysis</w:t>
      </w:r>
      <w:r>
        <w:rPr>
          <w:spacing w:val="-11"/>
        </w:rPr>
        <w:t> </w:t>
      </w:r>
      <w:r>
        <w:rPr/>
        <w:t>is</w:t>
      </w:r>
      <w:r>
        <w:rPr>
          <w:spacing w:val="-11"/>
        </w:rPr>
        <w:t> </w:t>
      </w:r>
      <w:r>
        <w:rPr/>
        <w:t>measured</w:t>
      </w:r>
      <w:r>
        <w:rPr>
          <w:spacing w:val="-11"/>
        </w:rPr>
        <w:t> </w:t>
      </w:r>
      <w:r>
        <w:rPr/>
        <w:t>at</w:t>
      </w:r>
      <w:r>
        <w:rPr>
          <w:spacing w:val="-11"/>
        </w:rPr>
        <w:t> </w:t>
      </w:r>
      <w:r>
        <w:rPr/>
        <w:t>the</w:t>
      </w:r>
      <w:r>
        <w:rPr>
          <w:spacing w:val="-11"/>
        </w:rPr>
        <w:t> </w:t>
      </w:r>
      <w:r>
        <w:rPr/>
        <w:t>country-year.</w:t>
      </w:r>
      <w:r>
        <w:rPr>
          <w:spacing w:val="7"/>
        </w:rPr>
        <w:t> </w:t>
      </w:r>
      <w:r>
        <w:rPr/>
        <w:t>In</w:t>
      </w:r>
      <w:r>
        <w:rPr>
          <w:spacing w:val="-11"/>
        </w:rPr>
        <w:t> </w:t>
      </w:r>
      <w:r>
        <w:rPr/>
        <w:t>order</w:t>
      </w:r>
      <w:r>
        <w:rPr>
          <w:spacing w:val="-11"/>
        </w:rPr>
        <w:t> </w:t>
      </w:r>
      <w:r>
        <w:rPr/>
        <w:t>to</w:t>
      </w:r>
      <w:r>
        <w:rPr>
          <w:spacing w:val="-11"/>
        </w:rPr>
        <w:t> </w:t>
      </w:r>
      <w:r>
        <w:rPr/>
        <w:t>estimate</w:t>
      </w:r>
      <w:r>
        <w:rPr>
          <w:spacing w:val="-11"/>
        </w:rPr>
        <w:t> </w:t>
      </w:r>
      <w:r>
        <w:rPr/>
        <w:t>the </w:t>
      </w:r>
      <w:r>
        <w:rPr>
          <w:spacing w:val="-2"/>
        </w:rPr>
        <w:t>effect</w:t>
      </w:r>
      <w:r>
        <w:rPr>
          <w:spacing w:val="-11"/>
        </w:rPr>
        <w:t> </w:t>
      </w:r>
      <w:r>
        <w:rPr>
          <w:spacing w:val="-2"/>
        </w:rPr>
        <w:t>of</w:t>
      </w:r>
      <w:r>
        <w:rPr>
          <w:spacing w:val="-10"/>
        </w:rPr>
        <w:t> </w:t>
      </w:r>
      <w:r>
        <w:rPr>
          <w:spacing w:val="-2"/>
        </w:rPr>
        <w:t>the</w:t>
      </w:r>
      <w:r>
        <w:rPr>
          <w:spacing w:val="-10"/>
        </w:rPr>
        <w:t> </w:t>
      </w:r>
      <w:r>
        <w:rPr>
          <w:spacing w:val="-2"/>
        </w:rPr>
        <w:t>primary</w:t>
      </w:r>
      <w:r>
        <w:rPr>
          <w:spacing w:val="-10"/>
        </w:rPr>
        <w:t> </w:t>
      </w:r>
      <w:r>
        <w:rPr>
          <w:spacing w:val="-2"/>
        </w:rPr>
        <w:t>independent</w:t>
      </w:r>
      <w:r>
        <w:rPr>
          <w:spacing w:val="-10"/>
        </w:rPr>
        <w:t> </w:t>
      </w:r>
      <w:r>
        <w:rPr>
          <w:spacing w:val="-2"/>
        </w:rPr>
        <w:t>variable,</w:t>
      </w:r>
      <w:r>
        <w:rPr>
          <w:spacing w:val="-10"/>
        </w:rPr>
        <w:t> </w:t>
      </w:r>
      <w:r>
        <w:rPr>
          <w:rFonts w:ascii="Bookman Old Style"/>
          <w:b w:val="0"/>
          <w:i/>
          <w:spacing w:val="-2"/>
        </w:rPr>
        <w:t>oil</w:t>
      </w:r>
      <w:r>
        <w:rPr>
          <w:rFonts w:ascii="Bookman Old Style"/>
          <w:b w:val="0"/>
          <w:i/>
          <w:spacing w:val="-13"/>
        </w:rPr>
        <w:t> </w:t>
      </w:r>
      <w:r>
        <w:rPr>
          <w:rFonts w:ascii="Bookman Old Style"/>
          <w:b w:val="0"/>
          <w:i/>
          <w:spacing w:val="-2"/>
        </w:rPr>
        <w:t>prices</w:t>
      </w:r>
      <w:r>
        <w:rPr>
          <w:spacing w:val="-2"/>
        </w:rPr>
        <w:t>,</w:t>
      </w:r>
      <w:r>
        <w:rPr>
          <w:spacing w:val="-10"/>
        </w:rPr>
        <w:t> </w:t>
      </w:r>
      <w:r>
        <w:rPr>
          <w:spacing w:val="-2"/>
        </w:rPr>
        <w:t>we</w:t>
      </w:r>
      <w:r>
        <w:rPr>
          <w:spacing w:val="-10"/>
        </w:rPr>
        <w:t> </w:t>
      </w:r>
      <w:r>
        <w:rPr>
          <w:spacing w:val="-2"/>
        </w:rPr>
        <w:t>employ</w:t>
      </w:r>
      <w:r>
        <w:rPr>
          <w:spacing w:val="-10"/>
        </w:rPr>
        <w:t> </w:t>
      </w:r>
      <w:r>
        <w:rPr>
          <w:spacing w:val="-2"/>
        </w:rPr>
        <w:t>several</w:t>
      </w:r>
      <w:r>
        <w:rPr>
          <w:spacing w:val="-10"/>
        </w:rPr>
        <w:t> </w:t>
      </w:r>
      <w:r>
        <w:rPr>
          <w:spacing w:val="-2"/>
        </w:rPr>
        <w:t>methods.</w:t>
      </w:r>
      <w:r>
        <w:rPr>
          <w:spacing w:val="-10"/>
        </w:rPr>
        <w:t> </w:t>
      </w:r>
      <w:r>
        <w:rPr>
          <w:spacing w:val="-2"/>
        </w:rPr>
        <w:t>Government</w:t>
      </w:r>
      <w:r>
        <w:rPr>
          <w:spacing w:val="-10"/>
        </w:rPr>
        <w:t> </w:t>
      </w:r>
      <w:r>
        <w:rPr>
          <w:spacing w:val="-2"/>
        </w:rPr>
        <w:t>spending </w:t>
      </w:r>
      <w:r>
        <w:rPr/>
        <w:t>decisions</w:t>
      </w:r>
      <w:r>
        <w:rPr>
          <w:spacing w:val="3"/>
        </w:rPr>
        <w:t> </w:t>
      </w:r>
      <w:r>
        <w:rPr/>
        <w:t>are</w:t>
      </w:r>
      <w:r>
        <w:rPr>
          <w:spacing w:val="4"/>
        </w:rPr>
        <w:t> </w:t>
      </w:r>
      <w:r>
        <w:rPr/>
        <w:t>typically</w:t>
      </w:r>
      <w:r>
        <w:rPr>
          <w:spacing w:val="4"/>
        </w:rPr>
        <w:t> </w:t>
      </w:r>
      <w:r>
        <w:rPr/>
        <w:t>made</w:t>
      </w:r>
      <w:r>
        <w:rPr>
          <w:spacing w:val="3"/>
        </w:rPr>
        <w:t> </w:t>
      </w:r>
      <w:r>
        <w:rPr/>
        <w:t>in</w:t>
      </w:r>
      <w:r>
        <w:rPr>
          <w:spacing w:val="4"/>
        </w:rPr>
        <w:t> </w:t>
      </w:r>
      <w:r>
        <w:rPr/>
        <w:t>advance,</w:t>
      </w:r>
      <w:r>
        <w:rPr>
          <w:spacing w:val="5"/>
        </w:rPr>
        <w:t> </w:t>
      </w:r>
      <w:r>
        <w:rPr/>
        <w:t>so</w:t>
      </w:r>
      <w:r>
        <w:rPr>
          <w:spacing w:val="4"/>
        </w:rPr>
        <w:t> </w:t>
      </w:r>
      <w:r>
        <w:rPr/>
        <w:t>a</w:t>
      </w:r>
      <w:r>
        <w:rPr>
          <w:spacing w:val="3"/>
        </w:rPr>
        <w:t> </w:t>
      </w:r>
      <w:r>
        <w:rPr/>
        <w:t>lagged</w:t>
      </w:r>
      <w:r>
        <w:rPr>
          <w:spacing w:val="4"/>
        </w:rPr>
        <w:t> </w:t>
      </w:r>
      <w:r>
        <w:rPr/>
        <w:t>measure</w:t>
      </w:r>
      <w:r>
        <w:rPr>
          <w:spacing w:val="4"/>
        </w:rPr>
        <w:t> </w:t>
      </w:r>
      <w:r>
        <w:rPr/>
        <w:t>which</w:t>
      </w:r>
      <w:r>
        <w:rPr>
          <w:spacing w:val="3"/>
        </w:rPr>
        <w:t> </w:t>
      </w:r>
      <w:r>
        <w:rPr/>
        <w:t>captures</w:t>
      </w:r>
      <w:r>
        <w:rPr>
          <w:spacing w:val="4"/>
        </w:rPr>
        <w:t> </w:t>
      </w:r>
      <w:r>
        <w:rPr/>
        <w:t>the</w:t>
      </w:r>
      <w:r>
        <w:rPr>
          <w:spacing w:val="4"/>
        </w:rPr>
        <w:t> </w:t>
      </w:r>
      <w:r>
        <w:rPr/>
        <w:t>dynamic</w:t>
      </w:r>
      <w:r>
        <w:rPr>
          <w:spacing w:val="3"/>
        </w:rPr>
        <w:t> </w:t>
      </w:r>
      <w:r>
        <w:rPr/>
        <w:t>shifts</w:t>
      </w:r>
      <w:r>
        <w:rPr>
          <w:spacing w:val="4"/>
        </w:rPr>
        <w:t> </w:t>
      </w:r>
      <w:r>
        <w:rPr/>
        <w:t>in</w:t>
      </w:r>
      <w:r>
        <w:rPr>
          <w:spacing w:val="4"/>
        </w:rPr>
        <w:t> </w:t>
      </w:r>
      <w:r>
        <w:rPr>
          <w:spacing w:val="-5"/>
        </w:rPr>
        <w:t>oil</w:t>
      </w:r>
    </w:p>
    <w:p>
      <w:pPr>
        <w:spacing w:before="34"/>
        <w:ind w:left="266" w:right="0" w:firstLine="0"/>
        <w:jc w:val="left"/>
        <w:rPr>
          <w:rFonts w:ascii="Bookman Old Style"/>
          <w:b w:val="0"/>
          <w:sz w:val="16"/>
        </w:rPr>
      </w:pPr>
      <w:r>
        <w:rPr>
          <w:rFonts w:ascii="Bookman Old Style"/>
          <w:b w:val="0"/>
          <w:spacing w:val="-4"/>
          <w:sz w:val="16"/>
          <w:vertAlign w:val="superscript"/>
        </w:rPr>
        <w:t>45</w:t>
      </w:r>
      <w:r>
        <w:rPr>
          <w:rFonts w:ascii="Bookman Old Style"/>
          <w:b w:val="0"/>
          <w:spacing w:val="-4"/>
          <w:sz w:val="16"/>
          <w:vertAlign w:val="baseline"/>
        </w:rPr>
        <w:t>Frank</w:t>
      </w:r>
      <w:r>
        <w:rPr>
          <w:rFonts w:ascii="Bookman Old Style"/>
          <w:b w:val="0"/>
          <w:sz w:val="16"/>
          <w:vertAlign w:val="baseline"/>
        </w:rPr>
        <w:t> </w:t>
      </w:r>
      <w:r>
        <w:rPr>
          <w:rFonts w:ascii="Bookman Old Style"/>
          <w:b w:val="0"/>
          <w:spacing w:val="-4"/>
          <w:sz w:val="16"/>
          <w:vertAlign w:val="baseline"/>
        </w:rPr>
        <w:t>and</w:t>
      </w:r>
      <w:r>
        <w:rPr>
          <w:rFonts w:ascii="Bookman Old Style"/>
          <w:b w:val="0"/>
          <w:spacing w:val="1"/>
          <w:sz w:val="16"/>
          <w:vertAlign w:val="baseline"/>
        </w:rPr>
        <w:t> </w:t>
      </w:r>
      <w:r>
        <w:rPr>
          <w:rFonts w:ascii="Bookman Old Style"/>
          <w:b w:val="0"/>
          <w:spacing w:val="-4"/>
          <w:sz w:val="16"/>
          <w:vertAlign w:val="baseline"/>
        </w:rPr>
        <w:t>Guesnet</w:t>
      </w:r>
      <w:r>
        <w:rPr>
          <w:rFonts w:ascii="Bookman Old Style"/>
          <w:b w:val="0"/>
          <w:spacing w:val="1"/>
          <w:sz w:val="16"/>
          <w:vertAlign w:val="baseline"/>
        </w:rPr>
        <w:t> </w:t>
      </w:r>
      <w:r>
        <w:rPr>
          <w:rFonts w:ascii="Bookman Old Style"/>
          <w:b w:val="0"/>
          <w:spacing w:val="-4"/>
          <w:sz w:val="16"/>
          <w:vertAlign w:val="baseline"/>
        </w:rPr>
        <w:t>(2009);</w:t>
      </w:r>
      <w:r>
        <w:rPr>
          <w:rFonts w:ascii="Bookman Old Style"/>
          <w:b w:val="0"/>
          <w:spacing w:val="1"/>
          <w:sz w:val="16"/>
          <w:vertAlign w:val="baseline"/>
        </w:rPr>
        <w:t> </w:t>
      </w:r>
      <w:r>
        <w:rPr>
          <w:rFonts w:ascii="Bookman Old Style"/>
          <w:b w:val="0"/>
          <w:spacing w:val="-4"/>
          <w:sz w:val="16"/>
          <w:vertAlign w:val="baseline"/>
        </w:rPr>
        <w:t>Perlo-Freeman</w:t>
      </w:r>
      <w:r>
        <w:rPr>
          <w:rFonts w:ascii="Bookman Old Style"/>
          <w:b w:val="0"/>
          <w:spacing w:val="1"/>
          <w:sz w:val="16"/>
          <w:vertAlign w:val="baseline"/>
        </w:rPr>
        <w:t> </w:t>
      </w:r>
      <w:r>
        <w:rPr>
          <w:rFonts w:ascii="Bookman Old Style"/>
          <w:b w:val="0"/>
          <w:spacing w:val="-4"/>
          <w:sz w:val="16"/>
          <w:vertAlign w:val="baseline"/>
        </w:rPr>
        <w:t>and</w:t>
      </w:r>
      <w:r>
        <w:rPr>
          <w:rFonts w:ascii="Bookman Old Style"/>
          <w:b w:val="0"/>
          <w:sz w:val="16"/>
          <w:vertAlign w:val="baseline"/>
        </w:rPr>
        <w:t> </w:t>
      </w:r>
      <w:r>
        <w:rPr>
          <w:rFonts w:ascii="Bookman Old Style"/>
          <w:b w:val="0"/>
          <w:spacing w:val="-4"/>
          <w:sz w:val="16"/>
          <w:vertAlign w:val="baseline"/>
        </w:rPr>
        <w:t>Brauner</w:t>
      </w:r>
      <w:r>
        <w:rPr>
          <w:rFonts w:ascii="Bookman Old Style"/>
          <w:b w:val="0"/>
          <w:spacing w:val="1"/>
          <w:sz w:val="16"/>
          <w:vertAlign w:val="baseline"/>
        </w:rPr>
        <w:t> </w:t>
      </w:r>
      <w:r>
        <w:rPr>
          <w:rFonts w:ascii="Bookman Old Style"/>
          <w:b w:val="0"/>
          <w:spacing w:val="-4"/>
          <w:sz w:val="16"/>
          <w:vertAlign w:val="baseline"/>
        </w:rPr>
        <w:t>(2012);</w:t>
      </w:r>
      <w:r>
        <w:rPr>
          <w:rFonts w:ascii="Bookman Old Style"/>
          <w:b w:val="0"/>
          <w:spacing w:val="1"/>
          <w:sz w:val="16"/>
          <w:vertAlign w:val="baseline"/>
        </w:rPr>
        <w:t> </w:t>
      </w:r>
      <w:r>
        <w:rPr>
          <w:rFonts w:ascii="Bookman Old Style"/>
          <w:b w:val="0"/>
          <w:spacing w:val="-4"/>
          <w:sz w:val="16"/>
          <w:vertAlign w:val="baseline"/>
        </w:rPr>
        <w:t>Al-Mawali</w:t>
      </w:r>
      <w:r>
        <w:rPr>
          <w:rFonts w:ascii="Bookman Old Style"/>
          <w:b w:val="0"/>
          <w:spacing w:val="1"/>
          <w:sz w:val="16"/>
          <w:vertAlign w:val="baseline"/>
        </w:rPr>
        <w:t> </w:t>
      </w:r>
      <w:r>
        <w:rPr>
          <w:rFonts w:ascii="Bookman Old Style"/>
          <w:b w:val="0"/>
          <w:spacing w:val="-4"/>
          <w:sz w:val="16"/>
          <w:vertAlign w:val="baseline"/>
        </w:rPr>
        <w:t>(2015);</w:t>
      </w:r>
      <w:r>
        <w:rPr>
          <w:rFonts w:ascii="Bookman Old Style"/>
          <w:b w:val="0"/>
          <w:spacing w:val="1"/>
          <w:sz w:val="16"/>
          <w:vertAlign w:val="baseline"/>
        </w:rPr>
        <w:t> </w:t>
      </w:r>
      <w:r>
        <w:rPr>
          <w:rFonts w:ascii="Bookman Old Style"/>
          <w:b w:val="0"/>
          <w:spacing w:val="-4"/>
          <w:sz w:val="16"/>
          <w:vertAlign w:val="baseline"/>
        </w:rPr>
        <w:t>Dizaji</w:t>
      </w:r>
      <w:r>
        <w:rPr>
          <w:rFonts w:ascii="Bookman Old Style"/>
          <w:b w:val="0"/>
          <w:spacing w:val="1"/>
          <w:sz w:val="16"/>
          <w:vertAlign w:val="baseline"/>
        </w:rPr>
        <w:t> </w:t>
      </w:r>
      <w:r>
        <w:rPr>
          <w:rFonts w:ascii="Bookman Old Style"/>
          <w:b w:val="0"/>
          <w:spacing w:val="-4"/>
          <w:sz w:val="16"/>
          <w:vertAlign w:val="baseline"/>
        </w:rPr>
        <w:t>(2019).</w:t>
      </w:r>
    </w:p>
    <w:p>
      <w:pPr>
        <w:spacing w:after="0"/>
        <w:jc w:val="left"/>
        <w:rPr>
          <w:rFonts w:ascii="Bookman Old Style"/>
          <w:sz w:val="16"/>
        </w:rPr>
        <w:sectPr>
          <w:pgSz w:w="12240" w:h="15840"/>
          <w:pgMar w:header="0" w:footer="1252" w:top="1100" w:bottom="1440" w:left="1300" w:right="1200"/>
        </w:sectPr>
      </w:pPr>
    </w:p>
    <w:p>
      <w:pPr>
        <w:pStyle w:val="BodyText"/>
        <w:spacing w:line="309" w:lineRule="auto" w:before="49"/>
        <w:ind w:left="117" w:right="633"/>
        <w:jc w:val="both"/>
      </w:pPr>
      <w:r>
        <w:rPr/>
        <w:t>prices from year to year is prudent.</w:t>
      </w:r>
      <w:r>
        <w:rPr>
          <w:spacing w:val="40"/>
        </w:rPr>
        <w:t> </w:t>
      </w:r>
      <w:r>
        <w:rPr/>
        <w:t>We tested a one-year average of crude oil prices for our primary measures. This data was obtained from the Federal Reserve Bank of St. Louis FRED dataset, a widely accepted benchmark for crude oil prices.</w:t>
      </w:r>
      <w:r>
        <w:rPr>
          <w:rFonts w:ascii="Century Gothic"/>
          <w:vertAlign w:val="superscript"/>
        </w:rPr>
        <w:t>46</w:t>
      </w:r>
      <w:r>
        <w:rPr>
          <w:rFonts w:ascii="Century Gothic"/>
          <w:spacing w:val="25"/>
          <w:vertAlign w:val="baseline"/>
        </w:rPr>
        <w:t> </w:t>
      </w:r>
      <w:r>
        <w:rPr>
          <w:vertAlign w:val="baseline"/>
        </w:rPr>
        <w:t>We opted to use the West Texas Intermediary (WTI) price of oil instead of Brent.</w:t>
      </w:r>
      <w:r>
        <w:rPr>
          <w:spacing w:val="40"/>
          <w:vertAlign w:val="baseline"/>
        </w:rPr>
        <w:t> </w:t>
      </w:r>
      <w:r>
        <w:rPr>
          <w:vertAlign w:val="baseline"/>
        </w:rPr>
        <w:t>These two measures are highly correlated, and the results using Brent were substantively indistinguishable from using WTI.</w:t>
      </w:r>
    </w:p>
    <w:p>
      <w:pPr>
        <w:pStyle w:val="BodyText"/>
        <w:spacing w:line="309" w:lineRule="auto" w:before="148"/>
        <w:ind w:left="117" w:right="633" w:firstLine="298"/>
        <w:jc w:val="both"/>
      </w:pPr>
      <w:r>
        <w:rPr/>
        <w:t>Secondly, we expect the effect of oil prices to appear primarily in states that are heavily dependent on</w:t>
      </w:r>
      <w:r>
        <w:rPr>
          <w:spacing w:val="-6"/>
        </w:rPr>
        <w:t> </w:t>
      </w:r>
      <w:r>
        <w:rPr/>
        <w:t>oil</w:t>
      </w:r>
      <w:r>
        <w:rPr>
          <w:spacing w:val="-6"/>
        </w:rPr>
        <w:t> </w:t>
      </w:r>
      <w:r>
        <w:rPr/>
        <w:t>for</w:t>
      </w:r>
      <w:r>
        <w:rPr>
          <w:spacing w:val="-5"/>
        </w:rPr>
        <w:t> </w:t>
      </w:r>
      <w:r>
        <w:rPr/>
        <w:t>government</w:t>
      </w:r>
      <w:r>
        <w:rPr>
          <w:spacing w:val="-5"/>
        </w:rPr>
        <w:t> </w:t>
      </w:r>
      <w:r>
        <w:rPr/>
        <w:t>revenue.</w:t>
      </w:r>
      <w:r>
        <w:rPr>
          <w:spacing w:val="12"/>
        </w:rPr>
        <w:t> </w:t>
      </w:r>
      <w:r>
        <w:rPr/>
        <w:t>Therefore,</w:t>
      </w:r>
      <w:r>
        <w:rPr>
          <w:spacing w:val="-5"/>
        </w:rPr>
        <w:t> </w:t>
      </w:r>
      <w:r>
        <w:rPr/>
        <w:t>we</w:t>
      </w:r>
      <w:r>
        <w:rPr>
          <w:spacing w:val="-6"/>
        </w:rPr>
        <w:t> </w:t>
      </w:r>
      <w:r>
        <w:rPr/>
        <w:t>employ</w:t>
      </w:r>
      <w:r>
        <w:rPr>
          <w:spacing w:val="-5"/>
        </w:rPr>
        <w:t> </w:t>
      </w:r>
      <w:r>
        <w:rPr/>
        <w:t>a</w:t>
      </w:r>
      <w:r>
        <w:rPr>
          <w:spacing w:val="-6"/>
        </w:rPr>
        <w:t> </w:t>
      </w:r>
      <w:r>
        <w:rPr/>
        <w:t>measurement</w:t>
      </w:r>
      <w:r>
        <w:rPr>
          <w:spacing w:val="-5"/>
        </w:rPr>
        <w:t> </w:t>
      </w:r>
      <w:r>
        <w:rPr/>
        <w:t>of</w:t>
      </w:r>
      <w:r>
        <w:rPr>
          <w:spacing w:val="-6"/>
        </w:rPr>
        <w:t> </w:t>
      </w:r>
      <w:r>
        <w:rPr/>
        <w:t>relative</w:t>
      </w:r>
      <w:r>
        <w:rPr>
          <w:spacing w:val="-6"/>
        </w:rPr>
        <w:t> </w:t>
      </w:r>
      <w:r>
        <w:rPr/>
        <w:t>oil</w:t>
      </w:r>
      <w:r>
        <w:rPr>
          <w:spacing w:val="-6"/>
        </w:rPr>
        <w:t> </w:t>
      </w:r>
      <w:r>
        <w:rPr/>
        <w:t>rents.</w:t>
      </w:r>
      <w:r>
        <w:rPr>
          <w:spacing w:val="12"/>
        </w:rPr>
        <w:t> </w:t>
      </w:r>
      <w:r>
        <w:rPr/>
        <w:t>Oil</w:t>
      </w:r>
      <w:r>
        <w:rPr>
          <w:spacing w:val="-5"/>
        </w:rPr>
        <w:t> </w:t>
      </w:r>
      <w:r>
        <w:rPr/>
        <w:t>rents</w:t>
      </w:r>
      <w:r>
        <w:rPr>
          <w:spacing w:val="-5"/>
        </w:rPr>
        <w:t> </w:t>
      </w:r>
      <w:r>
        <w:rPr/>
        <w:t>are continuous</w:t>
      </w:r>
      <w:r>
        <w:rPr>
          <w:spacing w:val="-4"/>
        </w:rPr>
        <w:t> </w:t>
      </w:r>
      <w:r>
        <w:rPr/>
        <w:t>variable</w:t>
      </w:r>
      <w:r>
        <w:rPr>
          <w:spacing w:val="-5"/>
        </w:rPr>
        <w:t> </w:t>
      </w:r>
      <w:r>
        <w:rPr/>
        <w:t>which</w:t>
      </w:r>
      <w:r>
        <w:rPr>
          <w:spacing w:val="-4"/>
        </w:rPr>
        <w:t> </w:t>
      </w:r>
      <w:r>
        <w:rPr/>
        <w:t>indicates</w:t>
      </w:r>
      <w:r>
        <w:rPr>
          <w:spacing w:val="-4"/>
        </w:rPr>
        <w:t> </w:t>
      </w:r>
      <w:r>
        <w:rPr/>
        <w:t>the</w:t>
      </w:r>
      <w:r>
        <w:rPr>
          <w:spacing w:val="-4"/>
        </w:rPr>
        <w:t> </w:t>
      </w:r>
      <w:r>
        <w:rPr/>
        <w:t>percentage</w:t>
      </w:r>
      <w:r>
        <w:rPr>
          <w:spacing w:val="-4"/>
        </w:rPr>
        <w:t> </w:t>
      </w:r>
      <w:r>
        <w:rPr/>
        <w:t>of</w:t>
      </w:r>
      <w:r>
        <w:rPr>
          <w:spacing w:val="-5"/>
        </w:rPr>
        <w:t> </w:t>
      </w:r>
      <w:r>
        <w:rPr/>
        <w:t>total</w:t>
      </w:r>
      <w:r>
        <w:rPr>
          <w:spacing w:val="-4"/>
        </w:rPr>
        <w:t> </w:t>
      </w:r>
      <w:r>
        <w:rPr/>
        <w:t>GDP</w:t>
      </w:r>
      <w:r>
        <w:rPr>
          <w:spacing w:val="-4"/>
        </w:rPr>
        <w:t> </w:t>
      </w:r>
      <w:r>
        <w:rPr/>
        <w:t>which</w:t>
      </w:r>
      <w:r>
        <w:rPr>
          <w:spacing w:val="-4"/>
        </w:rPr>
        <w:t> </w:t>
      </w:r>
      <w:r>
        <w:rPr/>
        <w:t>was</w:t>
      </w:r>
      <w:r>
        <w:rPr>
          <w:spacing w:val="-5"/>
        </w:rPr>
        <w:t> </w:t>
      </w:r>
      <w:r>
        <w:rPr/>
        <w:t>derived</w:t>
      </w:r>
      <w:r>
        <w:rPr>
          <w:spacing w:val="-5"/>
        </w:rPr>
        <w:t> </w:t>
      </w:r>
      <w:r>
        <w:rPr/>
        <w:t>from</w:t>
      </w:r>
      <w:r>
        <w:rPr>
          <w:spacing w:val="-4"/>
        </w:rPr>
        <w:t> </w:t>
      </w:r>
      <w:r>
        <w:rPr/>
        <w:t>the</w:t>
      </w:r>
      <w:r>
        <w:rPr>
          <w:spacing w:val="-4"/>
        </w:rPr>
        <w:t> </w:t>
      </w:r>
      <w:r>
        <w:rPr/>
        <w:t>sale</w:t>
      </w:r>
      <w:r>
        <w:rPr>
          <w:spacing w:val="-5"/>
        </w:rPr>
        <w:t> </w:t>
      </w:r>
      <w:r>
        <w:rPr/>
        <w:t>of</w:t>
      </w:r>
      <w:r>
        <w:rPr>
          <w:spacing w:val="-5"/>
        </w:rPr>
        <w:t> </w:t>
      </w:r>
      <w:r>
        <w:rPr/>
        <w:t>oil in a given year.</w:t>
      </w:r>
      <w:r>
        <w:rPr>
          <w:spacing w:val="40"/>
        </w:rPr>
        <w:t> </w:t>
      </w:r>
      <w:r>
        <w:rPr/>
        <w:t>This data can be obtained from the World Bank Open Data online database.</w:t>
      </w:r>
      <w:r>
        <w:rPr>
          <w:rFonts w:ascii="Century Gothic"/>
          <w:vertAlign w:val="superscript"/>
        </w:rPr>
        <w:t>47</w:t>
      </w:r>
      <w:r>
        <w:rPr>
          <w:rFonts w:ascii="Century Gothic"/>
          <w:spacing w:val="40"/>
          <w:vertAlign w:val="baseline"/>
        </w:rPr>
        <w:t> </w:t>
      </w:r>
      <w:r>
        <w:rPr>
          <w:vertAlign w:val="baseline"/>
        </w:rPr>
        <w:t>Ross (2013) uses oil income per capita as his primary measure of a petro-state.</w:t>
      </w:r>
      <w:r>
        <w:rPr>
          <w:spacing w:val="40"/>
          <w:vertAlign w:val="baseline"/>
        </w:rPr>
        <w:t> </w:t>
      </w:r>
      <w:r>
        <w:rPr>
          <w:vertAlign w:val="baseline"/>
        </w:rPr>
        <w:t>However, there are some concerns</w:t>
      </w:r>
      <w:r>
        <w:rPr>
          <w:spacing w:val="-8"/>
          <w:vertAlign w:val="baseline"/>
        </w:rPr>
        <w:t> </w:t>
      </w:r>
      <w:r>
        <w:rPr>
          <w:vertAlign w:val="baseline"/>
        </w:rPr>
        <w:t>with</w:t>
      </w:r>
      <w:r>
        <w:rPr>
          <w:spacing w:val="-8"/>
          <w:vertAlign w:val="baseline"/>
        </w:rPr>
        <w:t> </w:t>
      </w:r>
      <w:r>
        <w:rPr>
          <w:vertAlign w:val="baseline"/>
        </w:rPr>
        <w:t>this</w:t>
      </w:r>
      <w:r>
        <w:rPr>
          <w:spacing w:val="-8"/>
          <w:vertAlign w:val="baseline"/>
        </w:rPr>
        <w:t> </w:t>
      </w:r>
      <w:r>
        <w:rPr>
          <w:vertAlign w:val="baseline"/>
        </w:rPr>
        <w:t>measure.</w:t>
      </w:r>
      <w:r>
        <w:rPr>
          <w:spacing w:val="9"/>
          <w:vertAlign w:val="baseline"/>
        </w:rPr>
        <w:t> </w:t>
      </w:r>
      <w:r>
        <w:rPr>
          <w:vertAlign w:val="baseline"/>
        </w:rPr>
        <w:t>The</w:t>
      </w:r>
      <w:r>
        <w:rPr>
          <w:spacing w:val="-8"/>
          <w:vertAlign w:val="baseline"/>
        </w:rPr>
        <w:t> </w:t>
      </w:r>
      <w:r>
        <w:rPr>
          <w:vertAlign w:val="baseline"/>
        </w:rPr>
        <w:t>measure</w:t>
      </w:r>
      <w:r>
        <w:rPr>
          <w:spacing w:val="-8"/>
          <w:vertAlign w:val="baseline"/>
        </w:rPr>
        <w:t> </w:t>
      </w:r>
      <w:r>
        <w:rPr>
          <w:vertAlign w:val="baseline"/>
        </w:rPr>
        <w:t>does</w:t>
      </w:r>
      <w:r>
        <w:rPr>
          <w:spacing w:val="-8"/>
          <w:vertAlign w:val="baseline"/>
        </w:rPr>
        <w:t> </w:t>
      </w:r>
      <w:r>
        <w:rPr>
          <w:vertAlign w:val="baseline"/>
        </w:rPr>
        <w:t>not</w:t>
      </w:r>
      <w:r>
        <w:rPr>
          <w:spacing w:val="-7"/>
          <w:vertAlign w:val="baseline"/>
        </w:rPr>
        <w:t> </w:t>
      </w:r>
      <w:r>
        <w:rPr>
          <w:vertAlign w:val="baseline"/>
        </w:rPr>
        <w:t>estimate</w:t>
      </w:r>
      <w:r>
        <w:rPr>
          <w:spacing w:val="-8"/>
          <w:vertAlign w:val="baseline"/>
        </w:rPr>
        <w:t> </w:t>
      </w:r>
      <w:r>
        <w:rPr>
          <w:vertAlign w:val="baseline"/>
        </w:rPr>
        <w:t>the</w:t>
      </w:r>
      <w:r>
        <w:rPr>
          <w:spacing w:val="-8"/>
          <w:vertAlign w:val="baseline"/>
        </w:rPr>
        <w:t> </w:t>
      </w:r>
      <w:r>
        <w:rPr>
          <w:vertAlign w:val="baseline"/>
        </w:rPr>
        <w:t>relative</w:t>
      </w:r>
      <w:r>
        <w:rPr>
          <w:spacing w:val="-8"/>
          <w:vertAlign w:val="baseline"/>
        </w:rPr>
        <w:t> </w:t>
      </w:r>
      <w:r>
        <w:rPr>
          <w:vertAlign w:val="baseline"/>
        </w:rPr>
        <w:t>importance</w:t>
      </w:r>
      <w:r>
        <w:rPr>
          <w:spacing w:val="-8"/>
          <w:vertAlign w:val="baseline"/>
        </w:rPr>
        <w:t> </w:t>
      </w:r>
      <w:r>
        <w:rPr>
          <w:vertAlign w:val="baseline"/>
        </w:rPr>
        <w:t>of</w:t>
      </w:r>
      <w:r>
        <w:rPr>
          <w:spacing w:val="-8"/>
          <w:vertAlign w:val="baseline"/>
        </w:rPr>
        <w:t> </w:t>
      </w:r>
      <w:r>
        <w:rPr>
          <w:vertAlign w:val="baseline"/>
        </w:rPr>
        <w:t>oil</w:t>
      </w:r>
      <w:r>
        <w:rPr>
          <w:spacing w:val="-8"/>
          <w:vertAlign w:val="baseline"/>
        </w:rPr>
        <w:t> </w:t>
      </w:r>
      <w:r>
        <w:rPr>
          <w:vertAlign w:val="baseline"/>
        </w:rPr>
        <w:t>to</w:t>
      </w:r>
      <w:r>
        <w:rPr>
          <w:spacing w:val="-8"/>
          <w:vertAlign w:val="baseline"/>
        </w:rPr>
        <w:t> </w:t>
      </w:r>
      <w:r>
        <w:rPr>
          <w:vertAlign w:val="baseline"/>
        </w:rPr>
        <w:t>the</w:t>
      </w:r>
      <w:r>
        <w:rPr>
          <w:spacing w:val="-8"/>
          <w:vertAlign w:val="baseline"/>
        </w:rPr>
        <w:t> </w:t>
      </w:r>
      <w:r>
        <w:rPr>
          <w:vertAlign w:val="baseline"/>
        </w:rPr>
        <w:t>overall </w:t>
      </w:r>
      <w:r>
        <w:rPr>
          <w:spacing w:val="-2"/>
          <w:vertAlign w:val="baseline"/>
        </w:rPr>
        <w:t>economy,</w:t>
      </w:r>
      <w:r>
        <w:rPr>
          <w:spacing w:val="-4"/>
          <w:vertAlign w:val="baseline"/>
        </w:rPr>
        <w:t> </w:t>
      </w:r>
      <w:r>
        <w:rPr>
          <w:spacing w:val="-2"/>
          <w:vertAlign w:val="baseline"/>
        </w:rPr>
        <w:t>the</w:t>
      </w:r>
      <w:r>
        <w:rPr>
          <w:spacing w:val="-4"/>
          <w:vertAlign w:val="baseline"/>
        </w:rPr>
        <w:t> </w:t>
      </w:r>
      <w:r>
        <w:rPr>
          <w:spacing w:val="-2"/>
          <w:vertAlign w:val="baseline"/>
        </w:rPr>
        <w:t>degree</w:t>
      </w:r>
      <w:r>
        <w:rPr>
          <w:spacing w:val="-4"/>
          <w:vertAlign w:val="baseline"/>
        </w:rPr>
        <w:t> </w:t>
      </w:r>
      <w:r>
        <w:rPr>
          <w:spacing w:val="-2"/>
          <w:vertAlign w:val="baseline"/>
        </w:rPr>
        <w:t>to</w:t>
      </w:r>
      <w:r>
        <w:rPr>
          <w:spacing w:val="-4"/>
          <w:vertAlign w:val="baseline"/>
        </w:rPr>
        <w:t> </w:t>
      </w:r>
      <w:r>
        <w:rPr>
          <w:spacing w:val="-2"/>
          <w:vertAlign w:val="baseline"/>
        </w:rPr>
        <w:t>which</w:t>
      </w:r>
      <w:r>
        <w:rPr>
          <w:spacing w:val="-4"/>
          <w:vertAlign w:val="baseline"/>
        </w:rPr>
        <w:t> </w:t>
      </w:r>
      <w:r>
        <w:rPr>
          <w:spacing w:val="-2"/>
          <w:vertAlign w:val="baseline"/>
        </w:rPr>
        <w:t>the</w:t>
      </w:r>
      <w:r>
        <w:rPr>
          <w:spacing w:val="-4"/>
          <w:vertAlign w:val="baseline"/>
        </w:rPr>
        <w:t> </w:t>
      </w:r>
      <w:r>
        <w:rPr>
          <w:spacing w:val="-2"/>
          <w:vertAlign w:val="baseline"/>
        </w:rPr>
        <w:t>government</w:t>
      </w:r>
      <w:r>
        <w:rPr>
          <w:spacing w:val="-4"/>
          <w:vertAlign w:val="baseline"/>
        </w:rPr>
        <w:t> </w:t>
      </w:r>
      <w:r>
        <w:rPr>
          <w:spacing w:val="-2"/>
          <w:vertAlign w:val="baseline"/>
        </w:rPr>
        <w:t>derives</w:t>
      </w:r>
      <w:r>
        <w:rPr>
          <w:spacing w:val="-4"/>
          <w:vertAlign w:val="baseline"/>
        </w:rPr>
        <w:t> </w:t>
      </w:r>
      <w:r>
        <w:rPr>
          <w:spacing w:val="-2"/>
          <w:vertAlign w:val="baseline"/>
        </w:rPr>
        <w:t>state</w:t>
      </w:r>
      <w:r>
        <w:rPr>
          <w:spacing w:val="-4"/>
          <w:vertAlign w:val="baseline"/>
        </w:rPr>
        <w:t> </w:t>
      </w:r>
      <w:r>
        <w:rPr>
          <w:spacing w:val="-2"/>
          <w:vertAlign w:val="baseline"/>
        </w:rPr>
        <w:t>revenue</w:t>
      </w:r>
      <w:r>
        <w:rPr>
          <w:spacing w:val="-4"/>
          <w:vertAlign w:val="baseline"/>
        </w:rPr>
        <w:t> </w:t>
      </w:r>
      <w:r>
        <w:rPr>
          <w:spacing w:val="-2"/>
          <w:vertAlign w:val="baseline"/>
        </w:rPr>
        <w:t>from</w:t>
      </w:r>
      <w:r>
        <w:rPr>
          <w:spacing w:val="-4"/>
          <w:vertAlign w:val="baseline"/>
        </w:rPr>
        <w:t> </w:t>
      </w:r>
      <w:r>
        <w:rPr>
          <w:spacing w:val="-2"/>
          <w:vertAlign w:val="baseline"/>
        </w:rPr>
        <w:t>it,</w:t>
      </w:r>
      <w:r>
        <w:rPr>
          <w:spacing w:val="-4"/>
          <w:vertAlign w:val="baseline"/>
        </w:rPr>
        <w:t> </w:t>
      </w:r>
      <w:r>
        <w:rPr>
          <w:spacing w:val="-2"/>
          <w:vertAlign w:val="baseline"/>
        </w:rPr>
        <w:t>or</w:t>
      </w:r>
      <w:r>
        <w:rPr>
          <w:spacing w:val="-4"/>
          <w:vertAlign w:val="baseline"/>
        </w:rPr>
        <w:t> </w:t>
      </w:r>
      <w:r>
        <w:rPr>
          <w:spacing w:val="-2"/>
          <w:vertAlign w:val="baseline"/>
        </w:rPr>
        <w:t>independent</w:t>
      </w:r>
      <w:r>
        <w:rPr>
          <w:spacing w:val="-4"/>
          <w:vertAlign w:val="baseline"/>
        </w:rPr>
        <w:t> </w:t>
      </w:r>
      <w:r>
        <w:rPr>
          <w:spacing w:val="-2"/>
          <w:vertAlign w:val="baseline"/>
        </w:rPr>
        <w:t>effects</w:t>
      </w:r>
      <w:r>
        <w:rPr>
          <w:spacing w:val="-4"/>
          <w:vertAlign w:val="baseline"/>
        </w:rPr>
        <w:t> </w:t>
      </w:r>
      <w:r>
        <w:rPr>
          <w:spacing w:val="-2"/>
          <w:vertAlign w:val="baseline"/>
        </w:rPr>
        <w:t>from </w:t>
      </w:r>
      <w:r>
        <w:rPr>
          <w:vertAlign w:val="baseline"/>
        </w:rPr>
        <w:t>changes</w:t>
      </w:r>
      <w:r>
        <w:rPr>
          <w:spacing w:val="-13"/>
          <w:vertAlign w:val="baseline"/>
        </w:rPr>
        <w:t> </w:t>
      </w:r>
      <w:r>
        <w:rPr>
          <w:vertAlign w:val="baseline"/>
        </w:rPr>
        <w:t>to</w:t>
      </w:r>
      <w:r>
        <w:rPr>
          <w:spacing w:val="-12"/>
          <w:vertAlign w:val="baseline"/>
        </w:rPr>
        <w:t> </w:t>
      </w:r>
      <w:r>
        <w:rPr>
          <w:vertAlign w:val="baseline"/>
        </w:rPr>
        <w:t>GDP,</w:t>
      </w:r>
      <w:r>
        <w:rPr>
          <w:spacing w:val="-12"/>
          <w:vertAlign w:val="baseline"/>
        </w:rPr>
        <w:t> </w:t>
      </w:r>
      <w:r>
        <w:rPr>
          <w:vertAlign w:val="baseline"/>
        </w:rPr>
        <w:t>leading</w:t>
      </w:r>
      <w:r>
        <w:rPr>
          <w:spacing w:val="-12"/>
          <w:vertAlign w:val="baseline"/>
        </w:rPr>
        <w:t> </w:t>
      </w:r>
      <w:r>
        <w:rPr>
          <w:vertAlign w:val="baseline"/>
        </w:rPr>
        <w:t>researchers</w:t>
      </w:r>
      <w:r>
        <w:rPr>
          <w:spacing w:val="-12"/>
          <w:vertAlign w:val="baseline"/>
        </w:rPr>
        <w:t> </w:t>
      </w:r>
      <w:r>
        <w:rPr>
          <w:vertAlign w:val="baseline"/>
        </w:rPr>
        <w:t>to</w:t>
      </w:r>
      <w:r>
        <w:rPr>
          <w:spacing w:val="-12"/>
          <w:vertAlign w:val="baseline"/>
        </w:rPr>
        <w:t> </w:t>
      </w:r>
      <w:r>
        <w:rPr>
          <w:vertAlign w:val="baseline"/>
        </w:rPr>
        <w:t>consider</w:t>
      </w:r>
      <w:r>
        <w:rPr>
          <w:spacing w:val="-12"/>
          <w:vertAlign w:val="baseline"/>
        </w:rPr>
        <w:t> </w:t>
      </w:r>
      <w:r>
        <w:rPr>
          <w:vertAlign w:val="baseline"/>
        </w:rPr>
        <w:t>other</w:t>
      </w:r>
      <w:r>
        <w:rPr>
          <w:spacing w:val="-12"/>
          <w:vertAlign w:val="baseline"/>
        </w:rPr>
        <w:t> </w:t>
      </w:r>
      <w:r>
        <w:rPr>
          <w:vertAlign w:val="baseline"/>
        </w:rPr>
        <w:t>measures</w:t>
      </w:r>
      <w:r>
        <w:rPr>
          <w:spacing w:val="-12"/>
          <w:vertAlign w:val="baseline"/>
        </w:rPr>
        <w:t> </w:t>
      </w:r>
      <w:r>
        <w:rPr>
          <w:vertAlign w:val="baseline"/>
        </w:rPr>
        <w:t>in</w:t>
      </w:r>
      <w:r>
        <w:rPr>
          <w:spacing w:val="-12"/>
          <w:vertAlign w:val="baseline"/>
        </w:rPr>
        <w:t> </w:t>
      </w:r>
      <w:r>
        <w:rPr>
          <w:vertAlign w:val="baseline"/>
        </w:rPr>
        <w:t>more</w:t>
      </w:r>
      <w:r>
        <w:rPr>
          <w:spacing w:val="-12"/>
          <w:vertAlign w:val="baseline"/>
        </w:rPr>
        <w:t> </w:t>
      </w:r>
      <w:r>
        <w:rPr>
          <w:vertAlign w:val="baseline"/>
        </w:rPr>
        <w:t>recent</w:t>
      </w:r>
      <w:r>
        <w:rPr>
          <w:spacing w:val="-12"/>
          <w:vertAlign w:val="baseline"/>
        </w:rPr>
        <w:t> </w:t>
      </w:r>
      <w:r>
        <w:rPr>
          <w:vertAlign w:val="baseline"/>
        </w:rPr>
        <w:t>work.</w:t>
      </w:r>
      <w:r>
        <w:rPr>
          <w:rFonts w:ascii="Century Gothic"/>
          <w:vertAlign w:val="superscript"/>
        </w:rPr>
        <w:t>48</w:t>
      </w:r>
      <w:r>
        <w:rPr>
          <w:rFonts w:ascii="Century Gothic"/>
          <w:spacing w:val="-1"/>
          <w:vertAlign w:val="baseline"/>
        </w:rPr>
        <w:t> </w:t>
      </w:r>
      <w:r>
        <w:rPr>
          <w:vertAlign w:val="baseline"/>
        </w:rPr>
        <w:t>For</w:t>
      </w:r>
      <w:r>
        <w:rPr>
          <w:spacing w:val="-12"/>
          <w:vertAlign w:val="baseline"/>
        </w:rPr>
        <w:t> </w:t>
      </w:r>
      <w:r>
        <w:rPr>
          <w:vertAlign w:val="baseline"/>
        </w:rPr>
        <w:t>this</w:t>
      </w:r>
      <w:r>
        <w:rPr>
          <w:spacing w:val="-12"/>
          <w:vertAlign w:val="baseline"/>
        </w:rPr>
        <w:t> </w:t>
      </w:r>
      <w:r>
        <w:rPr>
          <w:vertAlign w:val="baseline"/>
        </w:rPr>
        <w:t>reason, we opt to use oil rents as a percentage of GDP, which provides a better estimate of how important oil</w:t>
      </w:r>
      <w:r>
        <w:rPr>
          <w:spacing w:val="40"/>
          <w:vertAlign w:val="baseline"/>
        </w:rPr>
        <w:t> </w:t>
      </w:r>
      <w:r>
        <w:rPr>
          <w:vertAlign w:val="baseline"/>
        </w:rPr>
        <w:t>is to the overall economy.</w:t>
      </w:r>
    </w:p>
    <w:p>
      <w:pPr>
        <w:pStyle w:val="BodyText"/>
        <w:spacing w:line="312" w:lineRule="auto" w:before="152"/>
        <w:ind w:left="117" w:right="632" w:firstLine="298"/>
        <w:jc w:val="both"/>
      </w:pPr>
      <w:r>
        <w:rPr/>
        <w:t>Oil</w:t>
      </w:r>
      <w:r>
        <w:rPr>
          <w:spacing w:val="-1"/>
        </w:rPr>
        <w:t> </w:t>
      </w:r>
      <w:r>
        <w:rPr/>
        <w:t>reliant</w:t>
      </w:r>
      <w:r>
        <w:rPr>
          <w:spacing w:val="-1"/>
        </w:rPr>
        <w:t> </w:t>
      </w:r>
      <w:r>
        <w:rPr/>
        <w:t>states</w:t>
      </w:r>
      <w:r>
        <w:rPr>
          <w:spacing w:val="-1"/>
        </w:rPr>
        <w:t> </w:t>
      </w:r>
      <w:r>
        <w:rPr/>
        <w:t>should</w:t>
      </w:r>
      <w:r>
        <w:rPr>
          <w:spacing w:val="-1"/>
        </w:rPr>
        <w:t> </w:t>
      </w:r>
      <w:r>
        <w:rPr/>
        <w:t>have</w:t>
      </w:r>
      <w:r>
        <w:rPr>
          <w:spacing w:val="-1"/>
        </w:rPr>
        <w:t> </w:t>
      </w:r>
      <w:r>
        <w:rPr/>
        <w:t>greater</w:t>
      </w:r>
      <w:r>
        <w:rPr>
          <w:spacing w:val="-1"/>
        </w:rPr>
        <w:t> </w:t>
      </w:r>
      <w:r>
        <w:rPr/>
        <w:t>capacity</w:t>
      </w:r>
      <w:r>
        <w:rPr>
          <w:spacing w:val="-1"/>
        </w:rPr>
        <w:t> </w:t>
      </w:r>
      <w:r>
        <w:rPr/>
        <w:t>to</w:t>
      </w:r>
      <w:r>
        <w:rPr>
          <w:spacing w:val="-1"/>
        </w:rPr>
        <w:t> </w:t>
      </w:r>
      <w:r>
        <w:rPr/>
        <w:t>deal</w:t>
      </w:r>
      <w:r>
        <w:rPr>
          <w:spacing w:val="-1"/>
        </w:rPr>
        <w:t> </w:t>
      </w:r>
      <w:r>
        <w:rPr/>
        <w:t>with</w:t>
      </w:r>
      <w:r>
        <w:rPr>
          <w:spacing w:val="-1"/>
        </w:rPr>
        <w:t> </w:t>
      </w:r>
      <w:r>
        <w:rPr/>
        <w:t>rebels</w:t>
      </w:r>
      <w:r>
        <w:rPr>
          <w:spacing w:val="-1"/>
        </w:rPr>
        <w:t> </w:t>
      </w:r>
      <w:r>
        <w:rPr/>
        <w:t>when</w:t>
      </w:r>
      <w:r>
        <w:rPr>
          <w:spacing w:val="-1"/>
        </w:rPr>
        <w:t> </w:t>
      </w:r>
      <w:r>
        <w:rPr/>
        <w:t>oil</w:t>
      </w:r>
      <w:r>
        <w:rPr>
          <w:spacing w:val="-1"/>
        </w:rPr>
        <w:t> </w:t>
      </w:r>
      <w:r>
        <w:rPr/>
        <w:t>prices</w:t>
      </w:r>
      <w:r>
        <w:rPr>
          <w:spacing w:val="-1"/>
        </w:rPr>
        <w:t> </w:t>
      </w:r>
      <w:r>
        <w:rPr/>
        <w:t>are</w:t>
      </w:r>
      <w:r>
        <w:rPr>
          <w:spacing w:val="-1"/>
        </w:rPr>
        <w:t> </w:t>
      </w:r>
      <w:r>
        <w:rPr/>
        <w:t>high. In</w:t>
      </w:r>
      <w:r>
        <w:rPr>
          <w:spacing w:val="-1"/>
        </w:rPr>
        <w:t> </w:t>
      </w:r>
      <w:r>
        <w:rPr/>
        <w:t>order to test this hypothesis, we examine the impact of oil prices in military expenditures, and the impact of military</w:t>
      </w:r>
      <w:r>
        <w:rPr>
          <w:spacing w:val="-1"/>
        </w:rPr>
        <w:t> </w:t>
      </w:r>
      <w:r>
        <w:rPr/>
        <w:t>expenditures</w:t>
      </w:r>
      <w:r>
        <w:rPr>
          <w:spacing w:val="-1"/>
        </w:rPr>
        <w:t> </w:t>
      </w:r>
      <w:r>
        <w:rPr/>
        <w:t>on</w:t>
      </w:r>
      <w:r>
        <w:rPr>
          <w:spacing w:val="-1"/>
        </w:rPr>
        <w:t> </w:t>
      </w:r>
      <w:r>
        <w:rPr/>
        <w:t>conflict</w:t>
      </w:r>
      <w:r>
        <w:rPr>
          <w:spacing w:val="-1"/>
        </w:rPr>
        <w:t> </w:t>
      </w:r>
      <w:r>
        <w:rPr/>
        <w:t>intensity.</w:t>
      </w:r>
      <w:r>
        <w:rPr>
          <w:spacing w:val="26"/>
        </w:rPr>
        <w:t> </w:t>
      </w:r>
      <w:r>
        <w:rPr/>
        <w:t>When</w:t>
      </w:r>
      <w:r>
        <w:rPr>
          <w:spacing w:val="-1"/>
        </w:rPr>
        <w:t> </w:t>
      </w:r>
      <w:r>
        <w:rPr/>
        <w:t>military</w:t>
      </w:r>
      <w:r>
        <w:rPr>
          <w:spacing w:val="-1"/>
        </w:rPr>
        <w:t> </w:t>
      </w:r>
      <w:r>
        <w:rPr/>
        <w:t>spending</w:t>
      </w:r>
      <w:r>
        <w:rPr>
          <w:spacing w:val="-1"/>
        </w:rPr>
        <w:t> </w:t>
      </w:r>
      <w:r>
        <w:rPr/>
        <w:t>is</w:t>
      </w:r>
      <w:r>
        <w:rPr>
          <w:spacing w:val="-1"/>
        </w:rPr>
        <w:t> </w:t>
      </w:r>
      <w:r>
        <w:rPr/>
        <w:t>high, governments</w:t>
      </w:r>
      <w:r>
        <w:rPr>
          <w:spacing w:val="-1"/>
        </w:rPr>
        <w:t> </w:t>
      </w:r>
      <w:r>
        <w:rPr/>
        <w:t>should</w:t>
      </w:r>
      <w:r>
        <w:rPr>
          <w:spacing w:val="-1"/>
        </w:rPr>
        <w:t> </w:t>
      </w:r>
      <w:r>
        <w:rPr/>
        <w:t>have additional</w:t>
      </w:r>
      <w:r>
        <w:rPr>
          <w:spacing w:val="-1"/>
        </w:rPr>
        <w:t> </w:t>
      </w:r>
      <w:r>
        <w:rPr/>
        <w:t>military</w:t>
      </w:r>
      <w:r>
        <w:rPr>
          <w:spacing w:val="-1"/>
        </w:rPr>
        <w:t> </w:t>
      </w:r>
      <w:r>
        <w:rPr/>
        <w:t>resources</w:t>
      </w:r>
      <w:r>
        <w:rPr>
          <w:spacing w:val="-1"/>
        </w:rPr>
        <w:t> </w:t>
      </w:r>
      <w:r>
        <w:rPr/>
        <w:t>to</w:t>
      </w:r>
      <w:r>
        <w:rPr>
          <w:spacing w:val="-1"/>
        </w:rPr>
        <w:t> </w:t>
      </w:r>
      <w:r>
        <w:rPr/>
        <w:t>devote</w:t>
      </w:r>
      <w:r>
        <w:rPr>
          <w:spacing w:val="-1"/>
        </w:rPr>
        <w:t> </w:t>
      </w:r>
      <w:r>
        <w:rPr/>
        <w:t>to</w:t>
      </w:r>
      <w:r>
        <w:rPr>
          <w:spacing w:val="-1"/>
        </w:rPr>
        <w:t> </w:t>
      </w:r>
      <w:r>
        <w:rPr/>
        <w:t>suppressing</w:t>
      </w:r>
      <w:r>
        <w:rPr>
          <w:spacing w:val="-1"/>
        </w:rPr>
        <w:t> </w:t>
      </w:r>
      <w:r>
        <w:rPr/>
        <w:t>armed</w:t>
      </w:r>
      <w:r>
        <w:rPr>
          <w:spacing w:val="-1"/>
        </w:rPr>
        <w:t> </w:t>
      </w:r>
      <w:r>
        <w:rPr/>
        <w:t>rebellions</w:t>
      </w:r>
      <w:r>
        <w:rPr>
          <w:spacing w:val="-1"/>
        </w:rPr>
        <w:t> </w:t>
      </w:r>
      <w:r>
        <w:rPr/>
        <w:t>and</w:t>
      </w:r>
      <w:r>
        <w:rPr>
          <w:spacing w:val="-1"/>
        </w:rPr>
        <w:t> </w:t>
      </w:r>
      <w:r>
        <w:rPr/>
        <w:t>providing</w:t>
      </w:r>
      <w:r>
        <w:rPr>
          <w:spacing w:val="-1"/>
        </w:rPr>
        <w:t> </w:t>
      </w:r>
      <w:r>
        <w:rPr/>
        <w:t>security.</w:t>
      </w:r>
      <w:r>
        <w:rPr>
          <w:spacing w:val="26"/>
        </w:rPr>
        <w:t> </w:t>
      </w:r>
      <w:r>
        <w:rPr/>
        <w:t>When </w:t>
      </w:r>
      <w:r>
        <w:rPr>
          <w:spacing w:val="-2"/>
        </w:rPr>
        <w:t>these</w:t>
      </w:r>
      <w:r>
        <w:rPr>
          <w:spacing w:val="-8"/>
        </w:rPr>
        <w:t> </w:t>
      </w:r>
      <w:r>
        <w:rPr>
          <w:spacing w:val="-2"/>
        </w:rPr>
        <w:t>resources</w:t>
      </w:r>
      <w:r>
        <w:rPr>
          <w:spacing w:val="-8"/>
        </w:rPr>
        <w:t> </w:t>
      </w:r>
      <w:r>
        <w:rPr>
          <w:spacing w:val="-2"/>
        </w:rPr>
        <w:t>are</w:t>
      </w:r>
      <w:r>
        <w:rPr>
          <w:spacing w:val="-8"/>
        </w:rPr>
        <w:t> </w:t>
      </w:r>
      <w:r>
        <w:rPr>
          <w:spacing w:val="-2"/>
        </w:rPr>
        <w:t>scarcer,</w:t>
      </w:r>
      <w:r>
        <w:rPr>
          <w:spacing w:val="-6"/>
        </w:rPr>
        <w:t> </w:t>
      </w:r>
      <w:r>
        <w:rPr>
          <w:spacing w:val="-2"/>
        </w:rPr>
        <w:t>governments</w:t>
      </w:r>
      <w:r>
        <w:rPr>
          <w:spacing w:val="-8"/>
        </w:rPr>
        <w:t> </w:t>
      </w:r>
      <w:r>
        <w:rPr>
          <w:spacing w:val="-2"/>
        </w:rPr>
        <w:t>may</w:t>
      </w:r>
      <w:r>
        <w:rPr>
          <w:spacing w:val="-8"/>
        </w:rPr>
        <w:t> </w:t>
      </w:r>
      <w:r>
        <w:rPr>
          <w:spacing w:val="-2"/>
        </w:rPr>
        <w:t>need</w:t>
      </w:r>
      <w:r>
        <w:rPr>
          <w:spacing w:val="-8"/>
        </w:rPr>
        <w:t> </w:t>
      </w:r>
      <w:r>
        <w:rPr>
          <w:spacing w:val="-2"/>
        </w:rPr>
        <w:t>to</w:t>
      </w:r>
      <w:r>
        <w:rPr>
          <w:spacing w:val="-8"/>
        </w:rPr>
        <w:t> </w:t>
      </w:r>
      <w:r>
        <w:rPr>
          <w:spacing w:val="-2"/>
        </w:rPr>
        <w:t>scale</w:t>
      </w:r>
      <w:r>
        <w:rPr>
          <w:spacing w:val="-8"/>
        </w:rPr>
        <w:t> </w:t>
      </w:r>
      <w:r>
        <w:rPr>
          <w:spacing w:val="-2"/>
        </w:rPr>
        <w:t>back</w:t>
      </w:r>
      <w:r>
        <w:rPr>
          <w:spacing w:val="-8"/>
        </w:rPr>
        <w:t> </w:t>
      </w:r>
      <w:r>
        <w:rPr>
          <w:spacing w:val="-2"/>
        </w:rPr>
        <w:t>military</w:t>
      </w:r>
      <w:r>
        <w:rPr>
          <w:spacing w:val="-8"/>
        </w:rPr>
        <w:t> </w:t>
      </w:r>
      <w:r>
        <w:rPr>
          <w:spacing w:val="-2"/>
        </w:rPr>
        <w:t>and</w:t>
      </w:r>
      <w:r>
        <w:rPr>
          <w:spacing w:val="-8"/>
        </w:rPr>
        <w:t> </w:t>
      </w:r>
      <w:r>
        <w:rPr>
          <w:spacing w:val="-2"/>
        </w:rPr>
        <w:t>security</w:t>
      </w:r>
      <w:r>
        <w:rPr>
          <w:spacing w:val="-8"/>
        </w:rPr>
        <w:t> </w:t>
      </w:r>
      <w:r>
        <w:rPr>
          <w:spacing w:val="-2"/>
        </w:rPr>
        <w:t>operations,</w:t>
      </w:r>
      <w:r>
        <w:rPr>
          <w:spacing w:val="-6"/>
        </w:rPr>
        <w:t> </w:t>
      </w:r>
      <w:r>
        <w:rPr>
          <w:spacing w:val="-2"/>
        </w:rPr>
        <w:t>poten- </w:t>
      </w:r>
      <w:r>
        <w:rPr/>
        <w:t>tially</w:t>
      </w:r>
      <w:r>
        <w:rPr>
          <w:spacing w:val="-2"/>
        </w:rPr>
        <w:t> </w:t>
      </w:r>
      <w:r>
        <w:rPr/>
        <w:t>allowing</w:t>
      </w:r>
      <w:r>
        <w:rPr>
          <w:spacing w:val="-2"/>
        </w:rPr>
        <w:t> </w:t>
      </w:r>
      <w:r>
        <w:rPr/>
        <w:t>groups</w:t>
      </w:r>
      <w:r>
        <w:rPr>
          <w:spacing w:val="-2"/>
        </w:rPr>
        <w:t> </w:t>
      </w:r>
      <w:r>
        <w:rPr/>
        <w:t>more</w:t>
      </w:r>
      <w:r>
        <w:rPr>
          <w:spacing w:val="-2"/>
        </w:rPr>
        <w:t> </w:t>
      </w:r>
      <w:r>
        <w:rPr/>
        <w:t>opportunity</w:t>
      </w:r>
      <w:r>
        <w:rPr>
          <w:spacing w:val="-2"/>
        </w:rPr>
        <w:t> </w:t>
      </w:r>
      <w:r>
        <w:rPr/>
        <w:t>to</w:t>
      </w:r>
      <w:r>
        <w:rPr>
          <w:spacing w:val="-2"/>
        </w:rPr>
        <w:t> </w:t>
      </w:r>
      <w:r>
        <w:rPr/>
        <w:t>sustain</w:t>
      </w:r>
      <w:r>
        <w:rPr>
          <w:spacing w:val="-2"/>
        </w:rPr>
        <w:t> </w:t>
      </w:r>
      <w:r>
        <w:rPr/>
        <w:t>and</w:t>
      </w:r>
      <w:r>
        <w:rPr>
          <w:spacing w:val="-2"/>
        </w:rPr>
        <w:t> </w:t>
      </w:r>
      <w:r>
        <w:rPr/>
        <w:t>intensify</w:t>
      </w:r>
      <w:r>
        <w:rPr>
          <w:spacing w:val="-2"/>
        </w:rPr>
        <w:t> </w:t>
      </w:r>
      <w:r>
        <w:rPr/>
        <w:t>an</w:t>
      </w:r>
      <w:r>
        <w:rPr>
          <w:spacing w:val="-2"/>
        </w:rPr>
        <w:t> </w:t>
      </w:r>
      <w:r>
        <w:rPr/>
        <w:t>armed</w:t>
      </w:r>
      <w:r>
        <w:rPr>
          <w:spacing w:val="-2"/>
        </w:rPr>
        <w:t> </w:t>
      </w:r>
      <w:r>
        <w:rPr/>
        <w:t>rebellion.</w:t>
      </w:r>
      <w:r>
        <w:rPr>
          <w:spacing w:val="17"/>
        </w:rPr>
        <w:t> </w:t>
      </w:r>
      <w:r>
        <w:rPr/>
        <w:t>Nigerian</w:t>
      </w:r>
      <w:r>
        <w:rPr>
          <w:spacing w:val="-2"/>
        </w:rPr>
        <w:t> </w:t>
      </w:r>
      <w:r>
        <w:rPr/>
        <w:t>military spending was, for example, at an all-time high in 2011, coinciding with a peak in the two-year average </w:t>
      </w:r>
      <w:r>
        <w:rPr>
          <w:spacing w:val="-2"/>
        </w:rPr>
        <w:t>price</w:t>
      </w:r>
      <w:r>
        <w:rPr>
          <w:spacing w:val="-8"/>
        </w:rPr>
        <w:t> </w:t>
      </w:r>
      <w:r>
        <w:rPr>
          <w:spacing w:val="-2"/>
        </w:rPr>
        <w:t>of</w:t>
      </w:r>
      <w:r>
        <w:rPr>
          <w:spacing w:val="-8"/>
        </w:rPr>
        <w:t> </w:t>
      </w:r>
      <w:r>
        <w:rPr>
          <w:spacing w:val="-2"/>
        </w:rPr>
        <w:t>oil</w:t>
      </w:r>
      <w:r>
        <w:rPr>
          <w:spacing w:val="-8"/>
        </w:rPr>
        <w:t> </w:t>
      </w:r>
      <w:r>
        <w:rPr>
          <w:spacing w:val="-2"/>
        </w:rPr>
        <w:t>during</w:t>
      </w:r>
      <w:r>
        <w:rPr>
          <w:spacing w:val="-8"/>
        </w:rPr>
        <w:t> </w:t>
      </w:r>
      <w:r>
        <w:rPr>
          <w:spacing w:val="-2"/>
        </w:rPr>
        <w:t>the</w:t>
      </w:r>
      <w:r>
        <w:rPr>
          <w:spacing w:val="-8"/>
        </w:rPr>
        <w:t> </w:t>
      </w:r>
      <w:r>
        <w:rPr>
          <w:spacing w:val="-2"/>
        </w:rPr>
        <w:t>same</w:t>
      </w:r>
      <w:r>
        <w:rPr>
          <w:spacing w:val="-8"/>
        </w:rPr>
        <w:t> </w:t>
      </w:r>
      <w:r>
        <w:rPr>
          <w:spacing w:val="-2"/>
        </w:rPr>
        <w:t>year.</w:t>
      </w:r>
      <w:r>
        <w:rPr>
          <w:spacing w:val="18"/>
        </w:rPr>
        <w:t> </w:t>
      </w:r>
      <w:r>
        <w:rPr>
          <w:spacing w:val="-2"/>
        </w:rPr>
        <w:t>Oil</w:t>
      </w:r>
      <w:r>
        <w:rPr>
          <w:spacing w:val="-7"/>
        </w:rPr>
        <w:t> </w:t>
      </w:r>
      <w:r>
        <w:rPr>
          <w:spacing w:val="-2"/>
        </w:rPr>
        <w:t>prices</w:t>
      </w:r>
      <w:r>
        <w:rPr>
          <w:spacing w:val="-8"/>
        </w:rPr>
        <w:t> </w:t>
      </w:r>
      <w:r>
        <w:rPr>
          <w:spacing w:val="-2"/>
        </w:rPr>
        <w:t>hit</w:t>
      </w:r>
      <w:r>
        <w:rPr>
          <w:spacing w:val="-8"/>
        </w:rPr>
        <w:t> </w:t>
      </w:r>
      <w:r>
        <w:rPr>
          <w:spacing w:val="-2"/>
        </w:rPr>
        <w:t>a</w:t>
      </w:r>
      <w:r>
        <w:rPr>
          <w:spacing w:val="-8"/>
        </w:rPr>
        <w:t> </w:t>
      </w:r>
      <w:r>
        <w:rPr>
          <w:spacing w:val="-2"/>
        </w:rPr>
        <w:t>two-year</w:t>
      </w:r>
      <w:r>
        <w:rPr>
          <w:spacing w:val="-8"/>
        </w:rPr>
        <w:t> </w:t>
      </w:r>
      <w:r>
        <w:rPr>
          <w:spacing w:val="-2"/>
        </w:rPr>
        <w:t>low</w:t>
      </w:r>
      <w:r>
        <w:rPr>
          <w:spacing w:val="-8"/>
        </w:rPr>
        <w:t> </w:t>
      </w:r>
      <w:r>
        <w:rPr>
          <w:spacing w:val="-2"/>
        </w:rPr>
        <w:t>in</w:t>
      </w:r>
      <w:r>
        <w:rPr>
          <w:spacing w:val="-8"/>
        </w:rPr>
        <w:t> </w:t>
      </w:r>
      <w:r>
        <w:rPr>
          <w:spacing w:val="-2"/>
        </w:rPr>
        <w:t>2014,</w:t>
      </w:r>
      <w:r>
        <w:rPr>
          <w:spacing w:val="-5"/>
        </w:rPr>
        <w:t> </w:t>
      </w:r>
      <w:r>
        <w:rPr>
          <w:spacing w:val="-2"/>
        </w:rPr>
        <w:t>and</w:t>
      </w:r>
      <w:r>
        <w:rPr>
          <w:spacing w:val="-8"/>
        </w:rPr>
        <w:t> </w:t>
      </w:r>
      <w:r>
        <w:rPr>
          <w:spacing w:val="-2"/>
        </w:rPr>
        <w:t>Nigerian</w:t>
      </w:r>
      <w:r>
        <w:rPr>
          <w:spacing w:val="-8"/>
        </w:rPr>
        <w:t> </w:t>
      </w:r>
      <w:r>
        <w:rPr>
          <w:spacing w:val="-2"/>
        </w:rPr>
        <w:t>military</w:t>
      </w:r>
      <w:r>
        <w:rPr>
          <w:spacing w:val="-8"/>
        </w:rPr>
        <w:t> </w:t>
      </w:r>
      <w:r>
        <w:rPr>
          <w:spacing w:val="-2"/>
        </w:rPr>
        <w:t>expenditure </w:t>
      </w:r>
      <w:r>
        <w:rPr/>
        <w:t>that</w:t>
      </w:r>
      <w:r>
        <w:rPr>
          <w:spacing w:val="-1"/>
        </w:rPr>
        <w:t> </w:t>
      </w:r>
      <w:r>
        <w:rPr/>
        <w:t>year</w:t>
      </w:r>
      <w:r>
        <w:rPr>
          <w:spacing w:val="-1"/>
        </w:rPr>
        <w:t> </w:t>
      </w:r>
      <w:r>
        <w:rPr/>
        <w:t>was</w:t>
      </w:r>
      <w:r>
        <w:rPr>
          <w:spacing w:val="-1"/>
        </w:rPr>
        <w:t> </w:t>
      </w:r>
      <w:r>
        <w:rPr/>
        <w:t>less</w:t>
      </w:r>
      <w:r>
        <w:rPr>
          <w:spacing w:val="-1"/>
        </w:rPr>
        <w:t> </w:t>
      </w:r>
      <w:r>
        <w:rPr/>
        <w:t>than</w:t>
      </w:r>
      <w:r>
        <w:rPr>
          <w:spacing w:val="-1"/>
        </w:rPr>
        <w:t> </w:t>
      </w:r>
      <w:r>
        <w:rPr/>
        <w:t>half</w:t>
      </w:r>
      <w:r>
        <w:rPr>
          <w:spacing w:val="-1"/>
        </w:rPr>
        <w:t> </w:t>
      </w:r>
      <w:r>
        <w:rPr/>
        <w:t>the</w:t>
      </w:r>
      <w:r>
        <w:rPr>
          <w:spacing w:val="-1"/>
        </w:rPr>
        <w:t> </w:t>
      </w:r>
      <w:r>
        <w:rPr/>
        <w:t>value</w:t>
      </w:r>
      <w:r>
        <w:rPr>
          <w:spacing w:val="-1"/>
        </w:rPr>
        <w:t> </w:t>
      </w:r>
      <w:r>
        <w:rPr/>
        <w:t>is</w:t>
      </w:r>
      <w:r>
        <w:rPr>
          <w:spacing w:val="-1"/>
        </w:rPr>
        <w:t> </w:t>
      </w:r>
      <w:r>
        <w:rPr/>
        <w:t>was</w:t>
      </w:r>
      <w:r>
        <w:rPr>
          <w:spacing w:val="-1"/>
        </w:rPr>
        <w:t> </w:t>
      </w:r>
      <w:r>
        <w:rPr/>
        <w:t>in</w:t>
      </w:r>
      <w:r>
        <w:rPr>
          <w:spacing w:val="-1"/>
        </w:rPr>
        <w:t> </w:t>
      </w:r>
      <w:r>
        <w:rPr/>
        <w:t>2011.</w:t>
      </w:r>
      <w:r>
        <w:rPr>
          <w:rFonts w:ascii="Century Gothic"/>
          <w:vertAlign w:val="superscript"/>
        </w:rPr>
        <w:t>49</w:t>
      </w:r>
      <w:r>
        <w:rPr>
          <w:rFonts w:ascii="Century Gothic"/>
          <w:spacing w:val="19"/>
          <w:vertAlign w:val="baseline"/>
        </w:rPr>
        <w:t> </w:t>
      </w:r>
      <w:r>
        <w:rPr>
          <w:vertAlign w:val="baseline"/>
        </w:rPr>
        <w:t>Our</w:t>
      </w:r>
      <w:r>
        <w:rPr>
          <w:spacing w:val="-1"/>
          <w:vertAlign w:val="baseline"/>
        </w:rPr>
        <w:t> </w:t>
      </w:r>
      <w:r>
        <w:rPr>
          <w:vertAlign w:val="baseline"/>
        </w:rPr>
        <w:t>data</w:t>
      </w:r>
      <w:r>
        <w:rPr>
          <w:spacing w:val="-1"/>
          <w:vertAlign w:val="baseline"/>
        </w:rPr>
        <w:t> </w:t>
      </w:r>
      <w:r>
        <w:rPr>
          <w:vertAlign w:val="baseline"/>
        </w:rPr>
        <w:t>on</w:t>
      </w:r>
      <w:r>
        <w:rPr>
          <w:spacing w:val="-1"/>
          <w:vertAlign w:val="baseline"/>
        </w:rPr>
        <w:t> </w:t>
      </w:r>
      <w:r>
        <w:rPr>
          <w:vertAlign w:val="baseline"/>
        </w:rPr>
        <w:t>military</w:t>
      </w:r>
      <w:r>
        <w:rPr>
          <w:spacing w:val="-1"/>
          <w:vertAlign w:val="baseline"/>
        </w:rPr>
        <w:t> </w:t>
      </w:r>
      <w:r>
        <w:rPr>
          <w:vertAlign w:val="baseline"/>
        </w:rPr>
        <w:t>expenditures</w:t>
      </w:r>
      <w:r>
        <w:rPr>
          <w:spacing w:val="-1"/>
          <w:vertAlign w:val="baseline"/>
        </w:rPr>
        <w:t> </w:t>
      </w:r>
      <w:r>
        <w:rPr>
          <w:vertAlign w:val="baseline"/>
        </w:rPr>
        <w:t>was</w:t>
      </w:r>
      <w:r>
        <w:rPr>
          <w:spacing w:val="-1"/>
          <w:vertAlign w:val="baseline"/>
        </w:rPr>
        <w:t> </w:t>
      </w:r>
      <w:r>
        <w:rPr>
          <w:vertAlign w:val="baseline"/>
        </w:rPr>
        <w:t>obtained </w:t>
      </w:r>
      <w:r>
        <w:rPr>
          <w:spacing w:val="-2"/>
          <w:vertAlign w:val="baseline"/>
        </w:rPr>
        <w:t>from</w:t>
      </w:r>
      <w:r>
        <w:rPr>
          <w:spacing w:val="-5"/>
          <w:vertAlign w:val="baseline"/>
        </w:rPr>
        <w:t> </w:t>
      </w:r>
      <w:r>
        <w:rPr>
          <w:spacing w:val="-2"/>
          <w:vertAlign w:val="baseline"/>
        </w:rPr>
        <w:t>a</w:t>
      </w:r>
      <w:r>
        <w:rPr>
          <w:spacing w:val="-5"/>
          <w:vertAlign w:val="baseline"/>
        </w:rPr>
        <w:t> </w:t>
      </w:r>
      <w:r>
        <w:rPr>
          <w:spacing w:val="-2"/>
          <w:vertAlign w:val="baseline"/>
        </w:rPr>
        <w:t>dataset</w:t>
      </w:r>
      <w:r>
        <w:rPr>
          <w:spacing w:val="-5"/>
          <w:vertAlign w:val="baseline"/>
        </w:rPr>
        <w:t> </w:t>
      </w:r>
      <w:r>
        <w:rPr>
          <w:spacing w:val="-2"/>
          <w:vertAlign w:val="baseline"/>
        </w:rPr>
        <w:t>on</w:t>
      </w:r>
      <w:r>
        <w:rPr>
          <w:spacing w:val="-5"/>
          <w:vertAlign w:val="baseline"/>
        </w:rPr>
        <w:t> </w:t>
      </w:r>
      <w:r>
        <w:rPr>
          <w:spacing w:val="-2"/>
          <w:vertAlign w:val="baseline"/>
        </w:rPr>
        <w:t>military</w:t>
      </w:r>
      <w:r>
        <w:rPr>
          <w:spacing w:val="-5"/>
          <w:vertAlign w:val="baseline"/>
        </w:rPr>
        <w:t> </w:t>
      </w:r>
      <w:r>
        <w:rPr>
          <w:spacing w:val="-2"/>
          <w:vertAlign w:val="baseline"/>
        </w:rPr>
        <w:t>expenditures</w:t>
      </w:r>
      <w:r>
        <w:rPr>
          <w:spacing w:val="-5"/>
          <w:vertAlign w:val="baseline"/>
        </w:rPr>
        <w:t> </w:t>
      </w:r>
      <w:r>
        <w:rPr>
          <w:spacing w:val="-2"/>
          <w:vertAlign w:val="baseline"/>
        </w:rPr>
        <w:t>developed</w:t>
      </w:r>
      <w:r>
        <w:rPr>
          <w:spacing w:val="-5"/>
          <w:vertAlign w:val="baseline"/>
        </w:rPr>
        <w:t> </w:t>
      </w:r>
      <w:r>
        <w:rPr>
          <w:spacing w:val="-2"/>
          <w:vertAlign w:val="baseline"/>
        </w:rPr>
        <w:t>by</w:t>
      </w:r>
      <w:r>
        <w:rPr>
          <w:spacing w:val="-5"/>
          <w:vertAlign w:val="baseline"/>
        </w:rPr>
        <w:t> </w:t>
      </w:r>
      <w:r>
        <w:rPr>
          <w:spacing w:val="-2"/>
          <w:vertAlign w:val="baseline"/>
        </w:rPr>
        <w:t>the</w:t>
      </w:r>
      <w:r>
        <w:rPr>
          <w:spacing w:val="-5"/>
          <w:vertAlign w:val="baseline"/>
        </w:rPr>
        <w:t> </w:t>
      </w:r>
      <w:r>
        <w:rPr>
          <w:spacing w:val="-2"/>
          <w:vertAlign w:val="baseline"/>
        </w:rPr>
        <w:t>Stockholm</w:t>
      </w:r>
      <w:r>
        <w:rPr>
          <w:spacing w:val="-5"/>
          <w:vertAlign w:val="baseline"/>
        </w:rPr>
        <w:t> </w:t>
      </w:r>
      <w:r>
        <w:rPr>
          <w:spacing w:val="-2"/>
          <w:vertAlign w:val="baseline"/>
        </w:rPr>
        <w:t>International</w:t>
      </w:r>
      <w:r>
        <w:rPr>
          <w:spacing w:val="-5"/>
          <w:vertAlign w:val="baseline"/>
        </w:rPr>
        <w:t> </w:t>
      </w:r>
      <w:r>
        <w:rPr>
          <w:spacing w:val="-2"/>
          <w:vertAlign w:val="baseline"/>
        </w:rPr>
        <w:t>Peace</w:t>
      </w:r>
      <w:r>
        <w:rPr>
          <w:spacing w:val="-5"/>
          <w:vertAlign w:val="baseline"/>
        </w:rPr>
        <w:t> </w:t>
      </w:r>
      <w:r>
        <w:rPr>
          <w:spacing w:val="-2"/>
          <w:vertAlign w:val="baseline"/>
        </w:rPr>
        <w:t>Research</w:t>
      </w:r>
      <w:r>
        <w:rPr>
          <w:spacing w:val="-5"/>
          <w:vertAlign w:val="baseline"/>
        </w:rPr>
        <w:t> </w:t>
      </w:r>
      <w:r>
        <w:rPr>
          <w:spacing w:val="-2"/>
          <w:vertAlign w:val="baseline"/>
        </w:rPr>
        <w:t>Insti- </w:t>
      </w:r>
      <w:r>
        <w:rPr>
          <w:vertAlign w:val="baseline"/>
        </w:rPr>
        <w:t>tute,</w:t>
      </w:r>
      <w:r>
        <w:rPr>
          <w:spacing w:val="-5"/>
          <w:vertAlign w:val="baseline"/>
        </w:rPr>
        <w:t> </w:t>
      </w:r>
      <w:r>
        <w:rPr>
          <w:vertAlign w:val="baseline"/>
        </w:rPr>
        <w:t>which</w:t>
      </w:r>
      <w:r>
        <w:rPr>
          <w:spacing w:val="-5"/>
          <w:vertAlign w:val="baseline"/>
        </w:rPr>
        <w:t> </w:t>
      </w:r>
      <w:r>
        <w:rPr>
          <w:vertAlign w:val="baseline"/>
        </w:rPr>
        <w:t>is</w:t>
      </w:r>
      <w:r>
        <w:rPr>
          <w:spacing w:val="-5"/>
          <w:vertAlign w:val="baseline"/>
        </w:rPr>
        <w:t> </w:t>
      </w:r>
      <w:r>
        <w:rPr>
          <w:vertAlign w:val="baseline"/>
        </w:rPr>
        <w:t>integrated</w:t>
      </w:r>
      <w:r>
        <w:rPr>
          <w:spacing w:val="-5"/>
          <w:vertAlign w:val="baseline"/>
        </w:rPr>
        <w:t> </w:t>
      </w:r>
      <w:r>
        <w:rPr>
          <w:vertAlign w:val="baseline"/>
        </w:rPr>
        <w:t>into</w:t>
      </w:r>
      <w:r>
        <w:rPr>
          <w:spacing w:val="-5"/>
          <w:vertAlign w:val="baseline"/>
        </w:rPr>
        <w:t> </w:t>
      </w:r>
      <w:r>
        <w:rPr>
          <w:vertAlign w:val="baseline"/>
        </w:rPr>
        <w:t>the</w:t>
      </w:r>
      <w:r>
        <w:rPr>
          <w:spacing w:val="-5"/>
          <w:vertAlign w:val="baseline"/>
        </w:rPr>
        <w:t> </w:t>
      </w:r>
      <w:r>
        <w:rPr>
          <w:vertAlign w:val="baseline"/>
        </w:rPr>
        <w:t>World</w:t>
      </w:r>
      <w:r>
        <w:rPr>
          <w:spacing w:val="-5"/>
          <w:vertAlign w:val="baseline"/>
        </w:rPr>
        <w:t> </w:t>
      </w:r>
      <w:r>
        <w:rPr>
          <w:vertAlign w:val="baseline"/>
        </w:rPr>
        <w:t>Bank</w:t>
      </w:r>
      <w:r>
        <w:rPr>
          <w:spacing w:val="-5"/>
          <w:vertAlign w:val="baseline"/>
        </w:rPr>
        <w:t> </w:t>
      </w:r>
      <w:r>
        <w:rPr>
          <w:vertAlign w:val="baseline"/>
        </w:rPr>
        <w:t>Open</w:t>
      </w:r>
      <w:r>
        <w:rPr>
          <w:spacing w:val="-5"/>
          <w:vertAlign w:val="baseline"/>
        </w:rPr>
        <w:t> </w:t>
      </w:r>
      <w:r>
        <w:rPr>
          <w:vertAlign w:val="baseline"/>
        </w:rPr>
        <w:t>Data</w:t>
      </w:r>
      <w:r>
        <w:rPr>
          <w:spacing w:val="-5"/>
          <w:vertAlign w:val="baseline"/>
        </w:rPr>
        <w:t> </w:t>
      </w:r>
      <w:r>
        <w:rPr>
          <w:vertAlign w:val="baseline"/>
        </w:rPr>
        <w:t>online</w:t>
      </w:r>
      <w:r>
        <w:rPr>
          <w:spacing w:val="-5"/>
          <w:vertAlign w:val="baseline"/>
        </w:rPr>
        <w:t> </w:t>
      </w:r>
      <w:r>
        <w:rPr>
          <w:vertAlign w:val="baseline"/>
        </w:rPr>
        <w:t>database.</w:t>
      </w:r>
      <w:r>
        <w:rPr>
          <w:spacing w:val="13"/>
          <w:vertAlign w:val="baseline"/>
        </w:rPr>
        <w:t> </w:t>
      </w:r>
      <w:r>
        <w:rPr>
          <w:vertAlign w:val="baseline"/>
        </w:rPr>
        <w:t>We</w:t>
      </w:r>
      <w:r>
        <w:rPr>
          <w:spacing w:val="-5"/>
          <w:vertAlign w:val="baseline"/>
        </w:rPr>
        <w:t> </w:t>
      </w:r>
      <w:r>
        <w:rPr>
          <w:vertAlign w:val="baseline"/>
        </w:rPr>
        <w:t>use</w:t>
      </w:r>
      <w:r>
        <w:rPr>
          <w:spacing w:val="-5"/>
          <w:vertAlign w:val="baseline"/>
        </w:rPr>
        <w:t> </w:t>
      </w:r>
      <w:r>
        <w:rPr>
          <w:vertAlign w:val="baseline"/>
        </w:rPr>
        <w:t>military</w:t>
      </w:r>
      <w:r>
        <w:rPr>
          <w:spacing w:val="-5"/>
          <w:vertAlign w:val="baseline"/>
        </w:rPr>
        <w:t> </w:t>
      </w:r>
      <w:r>
        <w:rPr>
          <w:vertAlign w:val="baseline"/>
        </w:rPr>
        <w:t>expenditure in</w:t>
      </w:r>
      <w:r>
        <w:rPr>
          <w:spacing w:val="-3"/>
          <w:vertAlign w:val="baseline"/>
        </w:rPr>
        <w:t> </w:t>
      </w:r>
      <w:r>
        <w:rPr>
          <w:vertAlign w:val="baseline"/>
        </w:rPr>
        <w:t>constant</w:t>
      </w:r>
      <w:r>
        <w:rPr>
          <w:spacing w:val="-3"/>
          <w:vertAlign w:val="baseline"/>
        </w:rPr>
        <w:t> </w:t>
      </w:r>
      <w:r>
        <w:rPr>
          <w:vertAlign w:val="baseline"/>
        </w:rPr>
        <w:t>USD</w:t>
      </w:r>
      <w:r>
        <w:rPr>
          <w:spacing w:val="-3"/>
          <w:vertAlign w:val="baseline"/>
        </w:rPr>
        <w:t> </w:t>
      </w:r>
      <w:r>
        <w:rPr>
          <w:vertAlign w:val="baseline"/>
        </w:rPr>
        <w:t>as</w:t>
      </w:r>
      <w:r>
        <w:rPr>
          <w:spacing w:val="-3"/>
          <w:vertAlign w:val="baseline"/>
        </w:rPr>
        <w:t> </w:t>
      </w:r>
      <w:r>
        <w:rPr>
          <w:vertAlign w:val="baseline"/>
        </w:rPr>
        <w:t>our</w:t>
      </w:r>
      <w:r>
        <w:rPr>
          <w:spacing w:val="-3"/>
          <w:vertAlign w:val="baseline"/>
        </w:rPr>
        <w:t> </w:t>
      </w:r>
      <w:r>
        <w:rPr>
          <w:vertAlign w:val="baseline"/>
        </w:rPr>
        <w:t>primary</w:t>
      </w:r>
      <w:r>
        <w:rPr>
          <w:spacing w:val="-3"/>
          <w:vertAlign w:val="baseline"/>
        </w:rPr>
        <w:t> </w:t>
      </w:r>
      <w:r>
        <w:rPr>
          <w:vertAlign w:val="baseline"/>
        </w:rPr>
        <w:t>measure.</w:t>
      </w:r>
      <w:r>
        <w:rPr>
          <w:spacing w:val="19"/>
          <w:vertAlign w:val="baseline"/>
        </w:rPr>
        <w:t> </w:t>
      </w:r>
      <w:r>
        <w:rPr>
          <w:vertAlign w:val="baseline"/>
        </w:rPr>
        <w:t>Rebel-incentive-based</w:t>
      </w:r>
      <w:r>
        <w:rPr>
          <w:spacing w:val="-3"/>
          <w:vertAlign w:val="baseline"/>
        </w:rPr>
        <w:t> </w:t>
      </w:r>
      <w:r>
        <w:rPr>
          <w:vertAlign w:val="baseline"/>
        </w:rPr>
        <w:t>theories</w:t>
      </w:r>
      <w:r>
        <w:rPr>
          <w:spacing w:val="-3"/>
          <w:vertAlign w:val="baseline"/>
        </w:rPr>
        <w:t> </w:t>
      </w:r>
      <w:r>
        <w:rPr>
          <w:vertAlign w:val="baseline"/>
        </w:rPr>
        <w:t>are</w:t>
      </w:r>
      <w:r>
        <w:rPr>
          <w:spacing w:val="-3"/>
          <w:vertAlign w:val="baseline"/>
        </w:rPr>
        <w:t> </w:t>
      </w:r>
      <w:r>
        <w:rPr>
          <w:vertAlign w:val="baseline"/>
        </w:rPr>
        <w:t>limited</w:t>
      </w:r>
      <w:r>
        <w:rPr>
          <w:spacing w:val="-3"/>
          <w:vertAlign w:val="baseline"/>
        </w:rPr>
        <w:t> </w:t>
      </w:r>
      <w:r>
        <w:rPr>
          <w:vertAlign w:val="baseline"/>
        </w:rPr>
        <w:t>to</w:t>
      </w:r>
      <w:r>
        <w:rPr>
          <w:spacing w:val="-3"/>
          <w:vertAlign w:val="baseline"/>
        </w:rPr>
        <w:t> </w:t>
      </w:r>
      <w:r>
        <w:rPr>
          <w:vertAlign w:val="baseline"/>
        </w:rPr>
        <w:t>describing</w:t>
      </w:r>
      <w:r>
        <w:rPr>
          <w:spacing w:val="-3"/>
          <w:vertAlign w:val="baseline"/>
        </w:rPr>
        <w:t> </w:t>
      </w:r>
      <w:r>
        <w:rPr>
          <w:vertAlign w:val="baseline"/>
        </w:rPr>
        <w:t>the behavior</w:t>
      </w:r>
      <w:r>
        <w:rPr>
          <w:spacing w:val="-7"/>
          <w:vertAlign w:val="baseline"/>
        </w:rPr>
        <w:t> </w:t>
      </w:r>
      <w:r>
        <w:rPr>
          <w:vertAlign w:val="baseline"/>
        </w:rPr>
        <w:t>of</w:t>
      </w:r>
      <w:r>
        <w:rPr>
          <w:spacing w:val="-7"/>
          <w:vertAlign w:val="baseline"/>
        </w:rPr>
        <w:t> </w:t>
      </w:r>
      <w:r>
        <w:rPr>
          <w:vertAlign w:val="baseline"/>
        </w:rPr>
        <w:t>rebels</w:t>
      </w:r>
      <w:r>
        <w:rPr>
          <w:spacing w:val="-7"/>
          <w:vertAlign w:val="baseline"/>
        </w:rPr>
        <w:t> </w:t>
      </w:r>
      <w:r>
        <w:rPr>
          <w:vertAlign w:val="baseline"/>
        </w:rPr>
        <w:t>located</w:t>
      </w:r>
      <w:r>
        <w:rPr>
          <w:spacing w:val="-7"/>
          <w:vertAlign w:val="baseline"/>
        </w:rPr>
        <w:t> </w:t>
      </w:r>
      <w:r>
        <w:rPr>
          <w:vertAlign w:val="baseline"/>
        </w:rPr>
        <w:t>in</w:t>
      </w:r>
      <w:r>
        <w:rPr>
          <w:spacing w:val="-7"/>
          <w:vertAlign w:val="baseline"/>
        </w:rPr>
        <w:t> </w:t>
      </w:r>
      <w:r>
        <w:rPr>
          <w:vertAlign w:val="baseline"/>
        </w:rPr>
        <w:t>regions</w:t>
      </w:r>
      <w:r>
        <w:rPr>
          <w:spacing w:val="-7"/>
          <w:vertAlign w:val="baseline"/>
        </w:rPr>
        <w:t> </w:t>
      </w:r>
      <w:r>
        <w:rPr>
          <w:vertAlign w:val="baseline"/>
        </w:rPr>
        <w:t>with</w:t>
      </w:r>
      <w:r>
        <w:rPr>
          <w:spacing w:val="-7"/>
          <w:vertAlign w:val="baseline"/>
        </w:rPr>
        <w:t> </w:t>
      </w:r>
      <w:r>
        <w:rPr>
          <w:vertAlign w:val="baseline"/>
        </w:rPr>
        <w:t>on-shore</w:t>
      </w:r>
      <w:r>
        <w:rPr>
          <w:spacing w:val="-7"/>
          <w:vertAlign w:val="baseline"/>
        </w:rPr>
        <w:t> </w:t>
      </w:r>
      <w:r>
        <w:rPr>
          <w:vertAlign w:val="baseline"/>
        </w:rPr>
        <w:t>oil</w:t>
      </w:r>
      <w:r>
        <w:rPr>
          <w:spacing w:val="-7"/>
          <w:vertAlign w:val="baseline"/>
        </w:rPr>
        <w:t> </w:t>
      </w:r>
      <w:r>
        <w:rPr>
          <w:vertAlign w:val="baseline"/>
        </w:rPr>
        <w:t>reserves</w:t>
      </w:r>
      <w:r>
        <w:rPr>
          <w:spacing w:val="-7"/>
          <w:vertAlign w:val="baseline"/>
        </w:rPr>
        <w:t> </w:t>
      </w:r>
      <w:r>
        <w:rPr>
          <w:vertAlign w:val="baseline"/>
        </w:rPr>
        <w:t>and</w:t>
      </w:r>
      <w:r>
        <w:rPr>
          <w:spacing w:val="-7"/>
          <w:vertAlign w:val="baseline"/>
        </w:rPr>
        <w:t> </w:t>
      </w:r>
      <w:r>
        <w:rPr>
          <w:vertAlign w:val="baseline"/>
        </w:rPr>
        <w:t>little</w:t>
      </w:r>
      <w:r>
        <w:rPr>
          <w:spacing w:val="-7"/>
          <w:vertAlign w:val="baseline"/>
        </w:rPr>
        <w:t> </w:t>
      </w:r>
      <w:r>
        <w:rPr>
          <w:vertAlign w:val="baseline"/>
        </w:rPr>
        <w:t>economic</w:t>
      </w:r>
      <w:r>
        <w:rPr>
          <w:spacing w:val="-7"/>
          <w:vertAlign w:val="baseline"/>
        </w:rPr>
        <w:t> </w:t>
      </w:r>
      <w:r>
        <w:rPr>
          <w:vertAlign w:val="baseline"/>
        </w:rPr>
        <w:t>opportunity</w:t>
      </w:r>
      <w:r>
        <w:rPr>
          <w:spacing w:val="-7"/>
          <w:vertAlign w:val="baseline"/>
        </w:rPr>
        <w:t> </w:t>
      </w:r>
      <w:r>
        <w:rPr>
          <w:vertAlign w:val="baseline"/>
        </w:rPr>
        <w:t>cost</w:t>
      </w:r>
      <w:r>
        <w:rPr>
          <w:spacing w:val="-7"/>
          <w:vertAlign w:val="baseline"/>
        </w:rPr>
        <w:t> </w:t>
      </w:r>
      <w:r>
        <w:rPr>
          <w:vertAlign w:val="baseline"/>
        </w:rPr>
        <w:t>for rebellion.</w:t>
      </w:r>
      <w:r>
        <w:rPr>
          <w:rFonts w:ascii="Century Gothic"/>
          <w:vertAlign w:val="superscript"/>
        </w:rPr>
        <w:t>50</w:t>
      </w:r>
      <w:r>
        <w:rPr>
          <w:rFonts w:ascii="Century Gothic"/>
          <w:vertAlign w:val="baseline"/>
        </w:rPr>
        <w:t> </w:t>
      </w:r>
      <w:r>
        <w:rPr>
          <w:vertAlign w:val="baseline"/>
        </w:rPr>
        <w:t>However,</w:t>
      </w:r>
      <w:r>
        <w:rPr>
          <w:spacing w:val="-12"/>
          <w:vertAlign w:val="baseline"/>
        </w:rPr>
        <w:t> </w:t>
      </w:r>
      <w:r>
        <w:rPr>
          <w:vertAlign w:val="baseline"/>
        </w:rPr>
        <w:t>our</w:t>
      </w:r>
      <w:r>
        <w:rPr>
          <w:spacing w:val="-12"/>
          <w:vertAlign w:val="baseline"/>
        </w:rPr>
        <w:t> </w:t>
      </w:r>
      <w:r>
        <w:rPr>
          <w:vertAlign w:val="baseline"/>
        </w:rPr>
        <w:t>theoretical</w:t>
      </w:r>
      <w:r>
        <w:rPr>
          <w:spacing w:val="-12"/>
          <w:vertAlign w:val="baseline"/>
        </w:rPr>
        <w:t> </w:t>
      </w:r>
      <w:r>
        <w:rPr>
          <w:vertAlign w:val="baseline"/>
        </w:rPr>
        <w:t>mechanism</w:t>
      </w:r>
      <w:r>
        <w:rPr>
          <w:spacing w:val="-12"/>
          <w:vertAlign w:val="baseline"/>
        </w:rPr>
        <w:t> </w:t>
      </w:r>
      <w:r>
        <w:rPr>
          <w:vertAlign w:val="baseline"/>
        </w:rPr>
        <w:t>should</w:t>
      </w:r>
      <w:r>
        <w:rPr>
          <w:spacing w:val="-12"/>
          <w:vertAlign w:val="baseline"/>
        </w:rPr>
        <w:t> </w:t>
      </w:r>
      <w:r>
        <w:rPr>
          <w:vertAlign w:val="baseline"/>
        </w:rPr>
        <w:t>work</w:t>
      </w:r>
      <w:r>
        <w:rPr>
          <w:spacing w:val="-12"/>
          <w:vertAlign w:val="baseline"/>
        </w:rPr>
        <w:t> </w:t>
      </w:r>
      <w:r>
        <w:rPr>
          <w:vertAlign w:val="baseline"/>
        </w:rPr>
        <w:t>in</w:t>
      </w:r>
      <w:r>
        <w:rPr>
          <w:spacing w:val="-12"/>
          <w:vertAlign w:val="baseline"/>
        </w:rPr>
        <w:t> </w:t>
      </w:r>
      <w:r>
        <w:rPr>
          <w:vertAlign w:val="baseline"/>
        </w:rPr>
        <w:t>any</w:t>
      </w:r>
      <w:r>
        <w:rPr>
          <w:spacing w:val="-12"/>
          <w:vertAlign w:val="baseline"/>
        </w:rPr>
        <w:t> </w:t>
      </w:r>
      <w:r>
        <w:rPr>
          <w:vertAlign w:val="baseline"/>
        </w:rPr>
        <w:t>conflict-prone</w:t>
      </w:r>
      <w:r>
        <w:rPr>
          <w:spacing w:val="-12"/>
          <w:vertAlign w:val="baseline"/>
        </w:rPr>
        <w:t> </w:t>
      </w:r>
      <w:r>
        <w:rPr>
          <w:vertAlign w:val="baseline"/>
        </w:rPr>
        <w:t>oil</w:t>
      </w:r>
      <w:r>
        <w:rPr>
          <w:spacing w:val="-12"/>
          <w:vertAlign w:val="baseline"/>
        </w:rPr>
        <w:t> </w:t>
      </w:r>
      <w:r>
        <w:rPr>
          <w:vertAlign w:val="baseline"/>
        </w:rPr>
        <w:t>state,</w:t>
      </w:r>
      <w:r>
        <w:rPr>
          <w:spacing w:val="-12"/>
          <w:vertAlign w:val="baseline"/>
        </w:rPr>
        <w:t> </w:t>
      </w:r>
      <w:r>
        <w:rPr>
          <w:vertAlign w:val="baseline"/>
        </w:rPr>
        <w:t>regardless </w:t>
      </w:r>
      <w:r>
        <w:rPr>
          <w:spacing w:val="-4"/>
          <w:vertAlign w:val="baseline"/>
        </w:rPr>
        <w:t>of the type of rebel (secessionist or non-secessionist) or location of reserves.</w:t>
      </w:r>
      <w:r>
        <w:rPr>
          <w:spacing w:val="28"/>
          <w:vertAlign w:val="baseline"/>
        </w:rPr>
        <w:t> </w:t>
      </w:r>
      <w:r>
        <w:rPr>
          <w:spacing w:val="-4"/>
          <w:vertAlign w:val="baseline"/>
        </w:rPr>
        <w:t>However, key conflict-related </w:t>
      </w:r>
      <w:r>
        <w:rPr>
          <w:vertAlign w:val="baseline"/>
        </w:rPr>
        <w:t>independent variables identified in such prior studies, such as overall GDP, still need to be included.</w:t>
      </w:r>
    </w:p>
    <w:p>
      <w:pPr>
        <w:pStyle w:val="BodyText"/>
        <w:spacing w:line="316" w:lineRule="auto" w:before="151"/>
        <w:ind w:left="117" w:right="633" w:firstLine="298"/>
        <w:jc w:val="both"/>
      </w:pPr>
      <w:r>
        <w:rPr/>
        <w:pict>
          <v:shape style="position:absolute;margin-left:70.865997pt;margin-top:114.497925pt;width:179.75pt;height:.1pt;mso-position-horizontal-relative:page;mso-position-vertical-relative:paragraph;z-index:-15725056;mso-wrap-distance-left:0;mso-wrap-distance-right:0" id="docshape10" coordorigin="1417,2290" coordsize="3595,0" path="m1417,2290l5012,2290e" filled="false" stroked="true" strokeweight=".398pt" strokecolor="#000000">
            <v:path arrowok="t"/>
            <v:stroke dashstyle="solid"/>
            <w10:wrap type="topAndBottom"/>
          </v:shape>
        </w:pict>
      </w:r>
      <w:r>
        <w:rPr/>
        <w:t>We expect that states with higher military expenditures have less intense civil conflicts.</w:t>
      </w:r>
      <w:r>
        <w:rPr>
          <w:spacing w:val="30"/>
        </w:rPr>
        <w:t> </w:t>
      </w:r>
      <w:r>
        <w:rPr/>
        <w:t>There are </w:t>
      </w:r>
      <w:r>
        <w:rPr>
          <w:spacing w:val="-2"/>
        </w:rPr>
        <w:t>multiple</w:t>
      </w:r>
      <w:r>
        <w:rPr>
          <w:spacing w:val="-6"/>
        </w:rPr>
        <w:t> </w:t>
      </w:r>
      <w:r>
        <w:rPr>
          <w:spacing w:val="-2"/>
        </w:rPr>
        <w:t>series</w:t>
      </w:r>
      <w:r>
        <w:rPr>
          <w:spacing w:val="-6"/>
        </w:rPr>
        <w:t> </w:t>
      </w:r>
      <w:r>
        <w:rPr>
          <w:spacing w:val="-2"/>
        </w:rPr>
        <w:t>that</w:t>
      </w:r>
      <w:r>
        <w:rPr>
          <w:spacing w:val="-6"/>
        </w:rPr>
        <w:t> </w:t>
      </w:r>
      <w:r>
        <w:rPr>
          <w:spacing w:val="-2"/>
        </w:rPr>
        <w:t>allow</w:t>
      </w:r>
      <w:r>
        <w:rPr>
          <w:spacing w:val="-6"/>
        </w:rPr>
        <w:t> </w:t>
      </w:r>
      <w:r>
        <w:rPr>
          <w:spacing w:val="-2"/>
        </w:rPr>
        <w:t>for</w:t>
      </w:r>
      <w:r>
        <w:rPr>
          <w:spacing w:val="-6"/>
        </w:rPr>
        <w:t> </w:t>
      </w:r>
      <w:r>
        <w:rPr>
          <w:spacing w:val="-2"/>
        </w:rPr>
        <w:t>the</w:t>
      </w:r>
      <w:r>
        <w:rPr>
          <w:spacing w:val="-6"/>
        </w:rPr>
        <w:t> </w:t>
      </w:r>
      <w:r>
        <w:rPr>
          <w:spacing w:val="-2"/>
        </w:rPr>
        <w:t>creation</w:t>
      </w:r>
      <w:r>
        <w:rPr>
          <w:spacing w:val="-6"/>
        </w:rPr>
        <w:t> </w:t>
      </w:r>
      <w:r>
        <w:rPr>
          <w:spacing w:val="-2"/>
        </w:rPr>
        <w:t>of</w:t>
      </w:r>
      <w:r>
        <w:rPr>
          <w:spacing w:val="-6"/>
        </w:rPr>
        <w:t> </w:t>
      </w:r>
      <w:r>
        <w:rPr>
          <w:spacing w:val="-2"/>
        </w:rPr>
        <w:t>a</w:t>
      </w:r>
      <w:r>
        <w:rPr>
          <w:spacing w:val="-6"/>
        </w:rPr>
        <w:t> </w:t>
      </w:r>
      <w:r>
        <w:rPr>
          <w:spacing w:val="-2"/>
        </w:rPr>
        <w:t>variable</w:t>
      </w:r>
      <w:r>
        <w:rPr>
          <w:spacing w:val="-6"/>
        </w:rPr>
        <w:t> </w:t>
      </w:r>
      <w:r>
        <w:rPr>
          <w:spacing w:val="-2"/>
        </w:rPr>
        <w:t>measuring</w:t>
      </w:r>
      <w:r>
        <w:rPr>
          <w:spacing w:val="-6"/>
        </w:rPr>
        <w:t> </w:t>
      </w:r>
      <w:r>
        <w:rPr>
          <w:spacing w:val="-2"/>
        </w:rPr>
        <w:t>conflict</w:t>
      </w:r>
      <w:r>
        <w:rPr>
          <w:spacing w:val="-6"/>
        </w:rPr>
        <w:t> </w:t>
      </w:r>
      <w:r>
        <w:rPr>
          <w:spacing w:val="-2"/>
        </w:rPr>
        <w:t>intensity.</w:t>
      </w:r>
      <w:r>
        <w:rPr>
          <w:spacing w:val="19"/>
        </w:rPr>
        <w:t> </w:t>
      </w:r>
      <w:r>
        <w:rPr>
          <w:spacing w:val="-2"/>
        </w:rPr>
        <w:t>We</w:t>
      </w:r>
      <w:r>
        <w:rPr>
          <w:spacing w:val="-6"/>
        </w:rPr>
        <w:t> </w:t>
      </w:r>
      <w:r>
        <w:rPr>
          <w:spacing w:val="-2"/>
        </w:rPr>
        <w:t>opt</w:t>
      </w:r>
      <w:r>
        <w:rPr>
          <w:spacing w:val="-6"/>
        </w:rPr>
        <w:t> </w:t>
      </w:r>
      <w:r>
        <w:rPr>
          <w:spacing w:val="-2"/>
        </w:rPr>
        <w:t>to</w:t>
      </w:r>
      <w:r>
        <w:rPr>
          <w:spacing w:val="-6"/>
        </w:rPr>
        <w:t> </w:t>
      </w:r>
      <w:r>
        <w:rPr>
          <w:spacing w:val="-2"/>
        </w:rPr>
        <w:t>use</w:t>
      </w:r>
      <w:r>
        <w:rPr>
          <w:spacing w:val="-6"/>
        </w:rPr>
        <w:t> </w:t>
      </w:r>
      <w:r>
        <w:rPr>
          <w:spacing w:val="-2"/>
        </w:rPr>
        <w:t>battle- </w:t>
      </w:r>
      <w:r>
        <w:rPr/>
        <w:t>related</w:t>
      </w:r>
      <w:r>
        <w:rPr>
          <w:spacing w:val="-13"/>
        </w:rPr>
        <w:t> </w:t>
      </w:r>
      <w:r>
        <w:rPr/>
        <w:t>deaths.</w:t>
      </w:r>
      <w:r>
        <w:rPr>
          <w:spacing w:val="-12"/>
        </w:rPr>
        <w:t> </w:t>
      </w:r>
      <w:r>
        <w:rPr/>
        <w:t>Another</w:t>
      </w:r>
      <w:r>
        <w:rPr>
          <w:spacing w:val="-12"/>
        </w:rPr>
        <w:t> </w:t>
      </w:r>
      <w:r>
        <w:rPr/>
        <w:t>possible</w:t>
      </w:r>
      <w:r>
        <w:rPr>
          <w:spacing w:val="-12"/>
        </w:rPr>
        <w:t> </w:t>
      </w:r>
      <w:r>
        <w:rPr/>
        <w:t>measure</w:t>
      </w:r>
      <w:r>
        <w:rPr>
          <w:spacing w:val="-12"/>
        </w:rPr>
        <w:t> </w:t>
      </w:r>
      <w:r>
        <w:rPr/>
        <w:t>is</w:t>
      </w:r>
      <w:r>
        <w:rPr>
          <w:spacing w:val="-12"/>
        </w:rPr>
        <w:t> </w:t>
      </w:r>
      <w:r>
        <w:rPr/>
        <w:t>found</w:t>
      </w:r>
      <w:r>
        <w:rPr>
          <w:spacing w:val="-12"/>
        </w:rPr>
        <w:t> </w:t>
      </w:r>
      <w:r>
        <w:rPr/>
        <w:t>by</w:t>
      </w:r>
      <w:r>
        <w:rPr>
          <w:spacing w:val="-12"/>
        </w:rPr>
        <w:t> </w:t>
      </w:r>
      <w:r>
        <w:rPr/>
        <w:t>aggregating</w:t>
      </w:r>
      <w:r>
        <w:rPr>
          <w:spacing w:val="-12"/>
        </w:rPr>
        <w:t> </w:t>
      </w:r>
      <w:r>
        <w:rPr/>
        <w:t>battle-related</w:t>
      </w:r>
      <w:r>
        <w:rPr>
          <w:spacing w:val="-12"/>
        </w:rPr>
        <w:t> </w:t>
      </w:r>
      <w:r>
        <w:rPr/>
        <w:t>deaths</w:t>
      </w:r>
      <w:r>
        <w:rPr>
          <w:spacing w:val="-12"/>
        </w:rPr>
        <w:t> </w:t>
      </w:r>
      <w:r>
        <w:rPr/>
        <w:t>and</w:t>
      </w:r>
      <w:r>
        <w:rPr>
          <w:spacing w:val="-12"/>
        </w:rPr>
        <w:t> </w:t>
      </w:r>
      <w:r>
        <w:rPr/>
        <w:t>deaths</w:t>
      </w:r>
      <w:r>
        <w:rPr>
          <w:spacing w:val="-12"/>
        </w:rPr>
        <w:t> </w:t>
      </w:r>
      <w:r>
        <w:rPr/>
        <w:t>from one-sided</w:t>
      </w:r>
      <w:r>
        <w:rPr>
          <w:spacing w:val="-12"/>
        </w:rPr>
        <w:t> </w:t>
      </w:r>
      <w:r>
        <w:rPr/>
        <w:t>violence</w:t>
      </w:r>
      <w:r>
        <w:rPr>
          <w:spacing w:val="-12"/>
        </w:rPr>
        <w:t> </w:t>
      </w:r>
      <w:r>
        <w:rPr/>
        <w:t>(i.e.</w:t>
      </w:r>
      <w:r>
        <w:rPr>
          <w:spacing w:val="3"/>
        </w:rPr>
        <w:t> </w:t>
      </w:r>
      <w:r>
        <w:rPr/>
        <w:t>civilian</w:t>
      </w:r>
      <w:r>
        <w:rPr>
          <w:spacing w:val="-12"/>
        </w:rPr>
        <w:t> </w:t>
      </w:r>
      <w:r>
        <w:rPr/>
        <w:t>deaths),</w:t>
      </w:r>
      <w:r>
        <w:rPr>
          <w:spacing w:val="-12"/>
        </w:rPr>
        <w:t> </w:t>
      </w:r>
      <w:r>
        <w:rPr/>
        <w:t>but</w:t>
      </w:r>
      <w:r>
        <w:rPr>
          <w:spacing w:val="-12"/>
        </w:rPr>
        <w:t> </w:t>
      </w:r>
      <w:r>
        <w:rPr/>
        <w:t>we</w:t>
      </w:r>
      <w:r>
        <w:rPr>
          <w:spacing w:val="-12"/>
        </w:rPr>
        <w:t> </w:t>
      </w:r>
      <w:r>
        <w:rPr/>
        <w:t>view</w:t>
      </w:r>
      <w:r>
        <w:rPr>
          <w:spacing w:val="-12"/>
        </w:rPr>
        <w:t> </w:t>
      </w:r>
      <w:r>
        <w:rPr/>
        <w:t>these</w:t>
      </w:r>
      <w:r>
        <w:rPr>
          <w:spacing w:val="-12"/>
        </w:rPr>
        <w:t> </w:t>
      </w:r>
      <w:r>
        <w:rPr/>
        <w:t>measures</w:t>
      </w:r>
      <w:r>
        <w:rPr>
          <w:spacing w:val="-12"/>
        </w:rPr>
        <w:t> </w:t>
      </w:r>
      <w:r>
        <w:rPr/>
        <w:t>of</w:t>
      </w:r>
      <w:r>
        <w:rPr>
          <w:spacing w:val="-12"/>
        </w:rPr>
        <w:t> </w:t>
      </w:r>
      <w:r>
        <w:rPr/>
        <w:t>violence</w:t>
      </w:r>
      <w:r>
        <w:rPr>
          <w:spacing w:val="-12"/>
        </w:rPr>
        <w:t> </w:t>
      </w:r>
      <w:r>
        <w:rPr/>
        <w:t>and</w:t>
      </w:r>
      <w:r>
        <w:rPr>
          <w:spacing w:val="-12"/>
        </w:rPr>
        <w:t> </w:t>
      </w:r>
      <w:r>
        <w:rPr/>
        <w:t>conflict</w:t>
      </w:r>
      <w:r>
        <w:rPr>
          <w:spacing w:val="-12"/>
        </w:rPr>
        <w:t> </w:t>
      </w:r>
      <w:r>
        <w:rPr/>
        <w:t>intensity</w:t>
      </w:r>
      <w:r>
        <w:rPr>
          <w:spacing w:val="-12"/>
        </w:rPr>
        <w:t> </w:t>
      </w:r>
      <w:r>
        <w:rPr/>
        <w:t>as </w:t>
      </w:r>
      <w:r>
        <w:rPr>
          <w:spacing w:val="-2"/>
        </w:rPr>
        <w:t>separate,</w:t>
      </w:r>
      <w:r>
        <w:rPr>
          <w:spacing w:val="-7"/>
        </w:rPr>
        <w:t> </w:t>
      </w:r>
      <w:r>
        <w:rPr>
          <w:spacing w:val="-2"/>
        </w:rPr>
        <w:t>with</w:t>
      </w:r>
      <w:r>
        <w:rPr>
          <w:spacing w:val="-9"/>
        </w:rPr>
        <w:t> </w:t>
      </w:r>
      <w:r>
        <w:rPr>
          <w:spacing w:val="-2"/>
        </w:rPr>
        <w:t>the</w:t>
      </w:r>
      <w:r>
        <w:rPr>
          <w:spacing w:val="-9"/>
        </w:rPr>
        <w:t> </w:t>
      </w:r>
      <w:r>
        <w:rPr>
          <w:spacing w:val="-2"/>
        </w:rPr>
        <w:t>former</w:t>
      </w:r>
      <w:r>
        <w:rPr>
          <w:spacing w:val="-9"/>
        </w:rPr>
        <w:t> </w:t>
      </w:r>
      <w:r>
        <w:rPr>
          <w:spacing w:val="-2"/>
        </w:rPr>
        <w:t>not</w:t>
      </w:r>
      <w:r>
        <w:rPr>
          <w:spacing w:val="-9"/>
        </w:rPr>
        <w:t> </w:t>
      </w:r>
      <w:r>
        <w:rPr>
          <w:spacing w:val="-2"/>
        </w:rPr>
        <w:t>capturing</w:t>
      </w:r>
      <w:r>
        <w:rPr>
          <w:spacing w:val="-9"/>
        </w:rPr>
        <w:t> </w:t>
      </w:r>
      <w:r>
        <w:rPr>
          <w:spacing w:val="-2"/>
        </w:rPr>
        <w:t>conflict</w:t>
      </w:r>
      <w:r>
        <w:rPr>
          <w:spacing w:val="-9"/>
        </w:rPr>
        <w:t> </w:t>
      </w:r>
      <w:r>
        <w:rPr>
          <w:spacing w:val="-2"/>
        </w:rPr>
        <w:t>between</w:t>
      </w:r>
      <w:r>
        <w:rPr>
          <w:spacing w:val="-9"/>
        </w:rPr>
        <w:t> </w:t>
      </w:r>
      <w:r>
        <w:rPr>
          <w:spacing w:val="-2"/>
        </w:rPr>
        <w:t>government</w:t>
      </w:r>
      <w:r>
        <w:rPr>
          <w:spacing w:val="-9"/>
        </w:rPr>
        <w:t> </w:t>
      </w:r>
      <w:r>
        <w:rPr>
          <w:spacing w:val="-2"/>
        </w:rPr>
        <w:t>forces</w:t>
      </w:r>
      <w:r>
        <w:rPr>
          <w:spacing w:val="-9"/>
        </w:rPr>
        <w:t> </w:t>
      </w:r>
      <w:r>
        <w:rPr>
          <w:spacing w:val="-2"/>
        </w:rPr>
        <w:t>and</w:t>
      </w:r>
      <w:r>
        <w:rPr>
          <w:spacing w:val="-10"/>
        </w:rPr>
        <w:t> </w:t>
      </w:r>
      <w:r>
        <w:rPr>
          <w:spacing w:val="-2"/>
        </w:rPr>
        <w:t>rebels,</w:t>
      </w:r>
      <w:r>
        <w:rPr>
          <w:spacing w:val="-7"/>
        </w:rPr>
        <w:t> </w:t>
      </w:r>
      <w:r>
        <w:rPr>
          <w:spacing w:val="-2"/>
        </w:rPr>
        <w:t>but</w:t>
      </w:r>
      <w:r>
        <w:rPr>
          <w:spacing w:val="-9"/>
        </w:rPr>
        <w:t> </w:t>
      </w:r>
      <w:r>
        <w:rPr>
          <w:spacing w:val="-2"/>
        </w:rPr>
        <w:t>rather</w:t>
      </w:r>
      <w:r>
        <w:rPr>
          <w:spacing w:val="-9"/>
        </w:rPr>
        <w:t> </w:t>
      </w:r>
      <w:r>
        <w:rPr>
          <w:spacing w:val="-2"/>
        </w:rPr>
        <w:t>crimes </w:t>
      </w:r>
      <w:r>
        <w:rPr/>
        <w:t>against civilians, which is a theoretically distinct phenomena.</w:t>
      </w:r>
      <w:r>
        <w:rPr>
          <w:spacing w:val="40"/>
        </w:rPr>
        <w:t> </w:t>
      </w:r>
      <w:r>
        <w:rPr/>
        <w:t>We therefore use battle-related deaths as</w:t>
      </w:r>
      <w:r>
        <w:rPr>
          <w:spacing w:val="19"/>
        </w:rPr>
        <w:t> </w:t>
      </w:r>
      <w:r>
        <w:rPr/>
        <w:t>our</w:t>
      </w:r>
      <w:r>
        <w:rPr>
          <w:spacing w:val="19"/>
        </w:rPr>
        <w:t> </w:t>
      </w:r>
      <w:r>
        <w:rPr/>
        <w:t>measure</w:t>
      </w:r>
      <w:r>
        <w:rPr>
          <w:spacing w:val="20"/>
        </w:rPr>
        <w:t> </w:t>
      </w:r>
      <w:r>
        <w:rPr/>
        <w:t>of</w:t>
      </w:r>
      <w:r>
        <w:rPr>
          <w:spacing w:val="19"/>
        </w:rPr>
        <w:t> </w:t>
      </w:r>
      <w:r>
        <w:rPr/>
        <w:t>conflict</w:t>
      </w:r>
      <w:r>
        <w:rPr>
          <w:spacing w:val="20"/>
        </w:rPr>
        <w:t> </w:t>
      </w:r>
      <w:r>
        <w:rPr/>
        <w:t>intensity</w:t>
      </w:r>
      <w:r>
        <w:rPr>
          <w:spacing w:val="19"/>
        </w:rPr>
        <w:t> </w:t>
      </w:r>
      <w:r>
        <w:rPr/>
        <w:t>and</w:t>
      </w:r>
      <w:r>
        <w:rPr>
          <w:spacing w:val="19"/>
        </w:rPr>
        <w:t> </w:t>
      </w:r>
      <w:r>
        <w:rPr/>
        <w:t>obtain</w:t>
      </w:r>
      <w:r>
        <w:rPr>
          <w:spacing w:val="20"/>
        </w:rPr>
        <w:t> </w:t>
      </w:r>
      <w:r>
        <w:rPr/>
        <w:t>this</w:t>
      </w:r>
      <w:r>
        <w:rPr>
          <w:spacing w:val="19"/>
        </w:rPr>
        <w:t> </w:t>
      </w:r>
      <w:r>
        <w:rPr/>
        <w:t>measure</w:t>
      </w:r>
      <w:r>
        <w:rPr>
          <w:spacing w:val="20"/>
        </w:rPr>
        <w:t> </w:t>
      </w:r>
      <w:r>
        <w:rPr/>
        <w:t>from</w:t>
      </w:r>
      <w:r>
        <w:rPr>
          <w:spacing w:val="19"/>
        </w:rPr>
        <w:t> </w:t>
      </w:r>
      <w:r>
        <w:rPr/>
        <w:t>the</w:t>
      </w:r>
      <w:r>
        <w:rPr>
          <w:spacing w:val="20"/>
        </w:rPr>
        <w:t> </w:t>
      </w:r>
      <w:r>
        <w:rPr/>
        <w:t>UCDP</w:t>
      </w:r>
      <w:r>
        <w:rPr>
          <w:spacing w:val="19"/>
        </w:rPr>
        <w:t> </w:t>
      </w:r>
      <w:r>
        <w:rPr/>
        <w:t>Battle-Related</w:t>
      </w:r>
      <w:r>
        <w:rPr>
          <w:spacing w:val="19"/>
        </w:rPr>
        <w:t> </w:t>
      </w:r>
      <w:r>
        <w:rPr>
          <w:spacing w:val="-2"/>
        </w:rPr>
        <w:t>Deaths</w:t>
      </w:r>
    </w:p>
    <w:p>
      <w:pPr>
        <w:spacing w:before="34"/>
        <w:ind w:left="266" w:right="0" w:firstLine="0"/>
        <w:jc w:val="left"/>
        <w:rPr>
          <w:rFonts w:ascii="Bookman Old Style"/>
          <w:b w:val="0"/>
          <w:sz w:val="16"/>
        </w:rPr>
      </w:pPr>
      <w:r>
        <w:rPr>
          <w:rFonts w:ascii="Bookman Old Style"/>
          <w:b w:val="0"/>
          <w:spacing w:val="-2"/>
          <w:sz w:val="16"/>
          <w:vertAlign w:val="superscript"/>
        </w:rPr>
        <w:t>46</w:t>
      </w:r>
      <w:r>
        <w:rPr>
          <w:rFonts w:ascii="Bookman Old Style"/>
          <w:b w:val="0"/>
          <w:spacing w:val="-2"/>
          <w:sz w:val="16"/>
          <w:vertAlign w:val="baseline"/>
        </w:rPr>
        <w:t>U.S.</w:t>
      </w:r>
      <w:r>
        <w:rPr>
          <w:rFonts w:ascii="Bookman Old Style"/>
          <w:b w:val="0"/>
          <w:spacing w:val="-6"/>
          <w:sz w:val="16"/>
          <w:vertAlign w:val="baseline"/>
        </w:rPr>
        <w:t> </w:t>
      </w:r>
      <w:r>
        <w:rPr>
          <w:rFonts w:ascii="Bookman Old Style"/>
          <w:b w:val="0"/>
          <w:spacing w:val="-2"/>
          <w:sz w:val="16"/>
          <w:vertAlign w:val="baseline"/>
        </w:rPr>
        <w:t>Energy</w:t>
      </w:r>
      <w:r>
        <w:rPr>
          <w:rFonts w:ascii="Bookman Old Style"/>
          <w:b w:val="0"/>
          <w:spacing w:val="-6"/>
          <w:sz w:val="16"/>
          <w:vertAlign w:val="baseline"/>
        </w:rPr>
        <w:t> </w:t>
      </w:r>
      <w:r>
        <w:rPr>
          <w:rFonts w:ascii="Bookman Old Style"/>
          <w:b w:val="0"/>
          <w:spacing w:val="-2"/>
          <w:sz w:val="16"/>
          <w:vertAlign w:val="baseline"/>
        </w:rPr>
        <w:t>Information</w:t>
      </w:r>
      <w:r>
        <w:rPr>
          <w:rFonts w:ascii="Bookman Old Style"/>
          <w:b w:val="0"/>
          <w:spacing w:val="-6"/>
          <w:sz w:val="16"/>
          <w:vertAlign w:val="baseline"/>
        </w:rPr>
        <w:t> </w:t>
      </w:r>
      <w:r>
        <w:rPr>
          <w:rFonts w:ascii="Bookman Old Style"/>
          <w:b w:val="0"/>
          <w:spacing w:val="-2"/>
          <w:sz w:val="16"/>
          <w:vertAlign w:val="baseline"/>
        </w:rPr>
        <w:t>Administration</w:t>
      </w:r>
      <w:r>
        <w:rPr>
          <w:rFonts w:ascii="Bookman Old Style"/>
          <w:b w:val="0"/>
          <w:spacing w:val="-5"/>
          <w:sz w:val="16"/>
          <w:vertAlign w:val="baseline"/>
        </w:rPr>
        <w:t> </w:t>
      </w:r>
      <w:r>
        <w:rPr>
          <w:rFonts w:ascii="Bookman Old Style"/>
          <w:b w:val="0"/>
          <w:spacing w:val="-2"/>
          <w:sz w:val="16"/>
          <w:vertAlign w:val="baseline"/>
        </w:rPr>
        <w:t>(2020).</w:t>
      </w:r>
    </w:p>
    <w:p>
      <w:pPr>
        <w:spacing w:before="2"/>
        <w:ind w:left="266" w:right="0" w:firstLine="0"/>
        <w:jc w:val="left"/>
        <w:rPr>
          <w:rFonts w:ascii="Bookman Old Style"/>
          <w:b w:val="0"/>
          <w:sz w:val="16"/>
        </w:rPr>
      </w:pPr>
      <w:r>
        <w:rPr>
          <w:rFonts w:ascii="Bookman Old Style"/>
          <w:b w:val="0"/>
          <w:sz w:val="16"/>
          <w:vertAlign w:val="superscript"/>
        </w:rPr>
        <w:t>47</w:t>
      </w:r>
      <w:r>
        <w:rPr>
          <w:rFonts w:ascii="Bookman Old Style"/>
          <w:b w:val="0"/>
          <w:sz w:val="16"/>
          <w:vertAlign w:val="baseline"/>
        </w:rPr>
        <w:t>World</w:t>
      </w:r>
      <w:r>
        <w:rPr>
          <w:rFonts w:ascii="Bookman Old Style"/>
          <w:b w:val="0"/>
          <w:spacing w:val="-2"/>
          <w:sz w:val="16"/>
          <w:vertAlign w:val="baseline"/>
        </w:rPr>
        <w:t> </w:t>
      </w:r>
      <w:r>
        <w:rPr>
          <w:rFonts w:ascii="Bookman Old Style"/>
          <w:b w:val="0"/>
          <w:sz w:val="16"/>
          <w:vertAlign w:val="baseline"/>
        </w:rPr>
        <w:t>Bank</w:t>
      </w:r>
      <w:r>
        <w:rPr>
          <w:rFonts w:ascii="Bookman Old Style"/>
          <w:b w:val="0"/>
          <w:spacing w:val="-1"/>
          <w:sz w:val="16"/>
          <w:vertAlign w:val="baseline"/>
        </w:rPr>
        <w:t> </w:t>
      </w:r>
      <w:r>
        <w:rPr>
          <w:rFonts w:ascii="Bookman Old Style"/>
          <w:b w:val="0"/>
          <w:spacing w:val="-2"/>
          <w:sz w:val="16"/>
          <w:vertAlign w:val="baseline"/>
        </w:rPr>
        <w:t>(2020).</w:t>
      </w:r>
    </w:p>
    <w:p>
      <w:pPr>
        <w:spacing w:before="2"/>
        <w:ind w:left="266" w:right="0" w:firstLine="0"/>
        <w:jc w:val="left"/>
        <w:rPr>
          <w:rFonts w:ascii="Bookman Old Style"/>
          <w:b w:val="0"/>
          <w:sz w:val="16"/>
        </w:rPr>
      </w:pPr>
      <w:r>
        <w:rPr>
          <w:rFonts w:ascii="Bookman Old Style"/>
          <w:b w:val="0"/>
          <w:sz w:val="16"/>
          <w:vertAlign w:val="superscript"/>
        </w:rPr>
        <w:t>48</w:t>
      </w:r>
      <w:r>
        <w:rPr>
          <w:rFonts w:ascii="Bookman Old Style"/>
          <w:b w:val="0"/>
          <w:sz w:val="16"/>
          <w:vertAlign w:val="baseline"/>
        </w:rPr>
        <w:t>Wright</w:t>
      </w:r>
      <w:r>
        <w:rPr>
          <w:rFonts w:ascii="Bookman Old Style"/>
          <w:b w:val="0"/>
          <w:spacing w:val="3"/>
          <w:sz w:val="16"/>
          <w:vertAlign w:val="baseline"/>
        </w:rPr>
        <w:t> </w:t>
      </w:r>
      <w:r>
        <w:rPr>
          <w:rFonts w:ascii="Bookman Old Style"/>
          <w:b w:val="0"/>
          <w:sz w:val="16"/>
          <w:vertAlign w:val="baseline"/>
        </w:rPr>
        <w:t>et</w:t>
      </w:r>
      <w:r>
        <w:rPr>
          <w:rFonts w:ascii="Bookman Old Style"/>
          <w:b w:val="0"/>
          <w:spacing w:val="4"/>
          <w:sz w:val="16"/>
          <w:vertAlign w:val="baseline"/>
        </w:rPr>
        <w:t> </w:t>
      </w:r>
      <w:r>
        <w:rPr>
          <w:rFonts w:ascii="Bookman Old Style"/>
          <w:b w:val="0"/>
          <w:sz w:val="16"/>
          <w:vertAlign w:val="baseline"/>
        </w:rPr>
        <w:t>al.</w:t>
      </w:r>
      <w:r>
        <w:rPr>
          <w:rFonts w:ascii="Bookman Old Style"/>
          <w:b w:val="0"/>
          <w:spacing w:val="22"/>
          <w:sz w:val="16"/>
          <w:vertAlign w:val="baseline"/>
        </w:rPr>
        <w:t> </w:t>
      </w:r>
      <w:r>
        <w:rPr>
          <w:rFonts w:ascii="Bookman Old Style"/>
          <w:b w:val="0"/>
          <w:spacing w:val="-2"/>
          <w:sz w:val="16"/>
          <w:vertAlign w:val="baseline"/>
        </w:rPr>
        <w:t>(2015).</w:t>
      </w:r>
    </w:p>
    <w:p>
      <w:pPr>
        <w:spacing w:before="3"/>
        <w:ind w:left="266" w:right="0" w:firstLine="0"/>
        <w:jc w:val="left"/>
        <w:rPr>
          <w:rFonts w:ascii="Bookman Old Style"/>
          <w:b w:val="0"/>
          <w:sz w:val="16"/>
        </w:rPr>
      </w:pPr>
      <w:r>
        <w:rPr>
          <w:rFonts w:ascii="Bookman Old Style"/>
          <w:b w:val="0"/>
          <w:spacing w:val="-4"/>
          <w:sz w:val="16"/>
          <w:vertAlign w:val="superscript"/>
        </w:rPr>
        <w:t>49</w:t>
      </w:r>
      <w:r>
        <w:rPr>
          <w:rFonts w:ascii="Bookman Old Style"/>
          <w:b w:val="0"/>
          <w:spacing w:val="-4"/>
          <w:sz w:val="16"/>
          <w:vertAlign w:val="baseline"/>
        </w:rPr>
        <w:t>Stockholm</w:t>
      </w:r>
      <w:r>
        <w:rPr>
          <w:rFonts w:ascii="Bookman Old Style"/>
          <w:b w:val="0"/>
          <w:spacing w:val="-1"/>
          <w:sz w:val="16"/>
          <w:vertAlign w:val="baseline"/>
        </w:rPr>
        <w:t> </w:t>
      </w:r>
      <w:r>
        <w:rPr>
          <w:rFonts w:ascii="Bookman Old Style"/>
          <w:b w:val="0"/>
          <w:spacing w:val="-4"/>
          <w:sz w:val="16"/>
          <w:vertAlign w:val="baseline"/>
        </w:rPr>
        <w:t>International</w:t>
      </w:r>
      <w:r>
        <w:rPr>
          <w:rFonts w:ascii="Bookman Old Style"/>
          <w:b w:val="0"/>
          <w:sz w:val="16"/>
          <w:vertAlign w:val="baseline"/>
        </w:rPr>
        <w:t> </w:t>
      </w:r>
      <w:r>
        <w:rPr>
          <w:rFonts w:ascii="Bookman Old Style"/>
          <w:b w:val="0"/>
          <w:spacing w:val="-4"/>
          <w:sz w:val="16"/>
          <w:vertAlign w:val="baseline"/>
        </w:rPr>
        <w:t>Peace</w:t>
      </w:r>
      <w:r>
        <w:rPr>
          <w:rFonts w:ascii="Bookman Old Style"/>
          <w:b w:val="0"/>
          <w:sz w:val="16"/>
          <w:vertAlign w:val="baseline"/>
        </w:rPr>
        <w:t> </w:t>
      </w:r>
      <w:r>
        <w:rPr>
          <w:rFonts w:ascii="Bookman Old Style"/>
          <w:b w:val="0"/>
          <w:spacing w:val="-4"/>
          <w:sz w:val="16"/>
          <w:vertAlign w:val="baseline"/>
        </w:rPr>
        <w:t>Research</w:t>
      </w:r>
      <w:r>
        <w:rPr>
          <w:rFonts w:ascii="Bookman Old Style"/>
          <w:b w:val="0"/>
          <w:sz w:val="16"/>
          <w:vertAlign w:val="baseline"/>
        </w:rPr>
        <w:t> </w:t>
      </w:r>
      <w:r>
        <w:rPr>
          <w:rFonts w:ascii="Bookman Old Style"/>
          <w:b w:val="0"/>
          <w:spacing w:val="-4"/>
          <w:sz w:val="16"/>
          <w:vertAlign w:val="baseline"/>
        </w:rPr>
        <w:t>Institute</w:t>
      </w:r>
      <w:r>
        <w:rPr>
          <w:rFonts w:ascii="Bookman Old Style"/>
          <w:b w:val="0"/>
          <w:sz w:val="16"/>
          <w:vertAlign w:val="baseline"/>
        </w:rPr>
        <w:t> </w:t>
      </w:r>
      <w:r>
        <w:rPr>
          <w:rFonts w:ascii="Bookman Old Style"/>
          <w:b w:val="0"/>
          <w:spacing w:val="-4"/>
          <w:sz w:val="16"/>
          <w:vertAlign w:val="baseline"/>
        </w:rPr>
        <w:t>Data,</w:t>
      </w:r>
      <w:r>
        <w:rPr>
          <w:rFonts w:ascii="Bookman Old Style"/>
          <w:b w:val="0"/>
          <w:sz w:val="16"/>
          <w:vertAlign w:val="baseline"/>
        </w:rPr>
        <w:t> </w:t>
      </w:r>
      <w:r>
        <w:rPr>
          <w:rFonts w:ascii="Bookman Old Style"/>
          <w:b w:val="0"/>
          <w:spacing w:val="-4"/>
          <w:sz w:val="16"/>
          <w:vertAlign w:val="baseline"/>
        </w:rPr>
        <w:t>2018</w:t>
      </w:r>
    </w:p>
    <w:p>
      <w:pPr>
        <w:spacing w:before="2"/>
        <w:ind w:left="266" w:right="0" w:firstLine="0"/>
        <w:jc w:val="left"/>
        <w:rPr>
          <w:rFonts w:ascii="Bookman Old Style"/>
          <w:b w:val="0"/>
          <w:sz w:val="16"/>
        </w:rPr>
      </w:pPr>
      <w:r>
        <w:rPr>
          <w:rFonts w:ascii="Bookman Old Style"/>
          <w:b w:val="0"/>
          <w:sz w:val="16"/>
          <w:vertAlign w:val="superscript"/>
        </w:rPr>
        <w:t>50</w:t>
      </w:r>
      <w:r>
        <w:rPr>
          <w:rFonts w:ascii="Bookman Old Style"/>
          <w:b w:val="0"/>
          <w:sz w:val="16"/>
          <w:vertAlign w:val="baseline"/>
        </w:rPr>
        <w:t>Ross</w:t>
      </w:r>
      <w:r>
        <w:rPr>
          <w:rFonts w:ascii="Bookman Old Style"/>
          <w:b w:val="0"/>
          <w:spacing w:val="5"/>
          <w:sz w:val="16"/>
          <w:vertAlign w:val="baseline"/>
        </w:rPr>
        <w:t> </w:t>
      </w:r>
      <w:r>
        <w:rPr>
          <w:rFonts w:ascii="Bookman Old Style"/>
          <w:b w:val="0"/>
          <w:spacing w:val="-2"/>
          <w:sz w:val="16"/>
          <w:vertAlign w:val="baseline"/>
        </w:rPr>
        <w:t>(2012).</w:t>
      </w:r>
    </w:p>
    <w:p>
      <w:pPr>
        <w:spacing w:after="0"/>
        <w:jc w:val="left"/>
        <w:rPr>
          <w:rFonts w:ascii="Bookman Old Style"/>
          <w:sz w:val="16"/>
        </w:rPr>
        <w:sectPr>
          <w:pgSz w:w="12240" w:h="15840"/>
          <w:pgMar w:header="0" w:footer="1252" w:top="1100" w:bottom="1440" w:left="1300" w:right="1200"/>
        </w:sectPr>
      </w:pPr>
    </w:p>
    <w:p>
      <w:pPr>
        <w:pStyle w:val="BodyText"/>
        <w:spacing w:before="49"/>
        <w:ind w:left="117"/>
      </w:pPr>
      <w:r>
        <w:rPr>
          <w:spacing w:val="-2"/>
        </w:rPr>
        <w:t>Dataset.</w:t>
      </w:r>
    </w:p>
    <w:p>
      <w:pPr>
        <w:pStyle w:val="BodyText"/>
        <w:spacing w:before="9"/>
        <w:rPr>
          <w:sz w:val="18"/>
        </w:rPr>
      </w:pPr>
    </w:p>
    <w:p>
      <w:pPr>
        <w:pStyle w:val="BodyText"/>
        <w:spacing w:line="316" w:lineRule="auto"/>
        <w:ind w:left="117" w:right="633" w:firstLine="298"/>
        <w:jc w:val="both"/>
      </w:pPr>
      <w:r>
        <w:rPr>
          <w:spacing w:val="-2"/>
        </w:rPr>
        <w:t>The</w:t>
      </w:r>
      <w:r>
        <w:rPr>
          <w:spacing w:val="-3"/>
        </w:rPr>
        <w:t> </w:t>
      </w:r>
      <w:r>
        <w:rPr>
          <w:spacing w:val="-2"/>
        </w:rPr>
        <w:t>Uppsala</w:t>
      </w:r>
      <w:r>
        <w:rPr>
          <w:spacing w:val="-3"/>
        </w:rPr>
        <w:t> </w:t>
      </w:r>
      <w:r>
        <w:rPr>
          <w:spacing w:val="-2"/>
        </w:rPr>
        <w:t>Conflict Data</w:t>
      </w:r>
      <w:r>
        <w:rPr>
          <w:spacing w:val="-3"/>
        </w:rPr>
        <w:t> </w:t>
      </w:r>
      <w:r>
        <w:rPr>
          <w:spacing w:val="-2"/>
        </w:rPr>
        <w:t>Program</w:t>
      </w:r>
      <w:r>
        <w:rPr>
          <w:spacing w:val="-3"/>
        </w:rPr>
        <w:t> </w:t>
      </w:r>
      <w:r>
        <w:rPr>
          <w:spacing w:val="-2"/>
        </w:rPr>
        <w:t>(UCDP)</w:t>
      </w:r>
      <w:r>
        <w:rPr>
          <w:spacing w:val="-3"/>
        </w:rPr>
        <w:t> </w:t>
      </w:r>
      <w:r>
        <w:rPr>
          <w:spacing w:val="-2"/>
        </w:rPr>
        <w:t>defines</w:t>
      </w:r>
      <w:r>
        <w:rPr>
          <w:spacing w:val="-3"/>
        </w:rPr>
        <w:t> </w:t>
      </w:r>
      <w:r>
        <w:rPr>
          <w:spacing w:val="-2"/>
        </w:rPr>
        <w:t>an</w:t>
      </w:r>
      <w:r>
        <w:rPr>
          <w:spacing w:val="-3"/>
        </w:rPr>
        <w:t> </w:t>
      </w:r>
      <w:r>
        <w:rPr>
          <w:spacing w:val="-2"/>
        </w:rPr>
        <w:t>armed</w:t>
      </w:r>
      <w:r>
        <w:rPr>
          <w:spacing w:val="-3"/>
        </w:rPr>
        <w:t> </w:t>
      </w:r>
      <w:r>
        <w:rPr>
          <w:spacing w:val="-2"/>
        </w:rPr>
        <w:t>conflict</w:t>
      </w:r>
      <w:r>
        <w:rPr>
          <w:spacing w:val="-3"/>
        </w:rPr>
        <w:t> </w:t>
      </w:r>
      <w:r>
        <w:rPr>
          <w:spacing w:val="-2"/>
        </w:rPr>
        <w:t>as</w:t>
      </w:r>
      <w:r>
        <w:rPr>
          <w:spacing w:val="-3"/>
        </w:rPr>
        <w:t> </w:t>
      </w:r>
      <w:r>
        <w:rPr>
          <w:spacing w:val="-2"/>
        </w:rPr>
        <w:t>a</w:t>
      </w:r>
      <w:r>
        <w:rPr>
          <w:spacing w:val="-3"/>
        </w:rPr>
        <w:t> </w:t>
      </w:r>
      <w:r>
        <w:rPr>
          <w:spacing w:val="-2"/>
        </w:rPr>
        <w:t>contested</w:t>
      </w:r>
      <w:r>
        <w:rPr>
          <w:spacing w:val="-3"/>
        </w:rPr>
        <w:t> </w:t>
      </w:r>
      <w:r>
        <w:rPr>
          <w:spacing w:val="-2"/>
        </w:rPr>
        <w:t>incompatibility </w:t>
      </w:r>
      <w:r>
        <w:rPr/>
        <w:t>that concerns government and/or territory over which the use of armed force between two parties, of which at least one is the government of a state, has resulted in at least 25 battle-related deaths in one calendar year.</w:t>
      </w:r>
      <w:r>
        <w:rPr>
          <w:spacing w:val="40"/>
        </w:rPr>
        <w:t> </w:t>
      </w:r>
      <w:r>
        <w:rPr/>
        <w:t>Battle-related deaths refer to those deaths caused by the warring parties that can be directly related to combat.</w:t>
      </w:r>
    </w:p>
    <w:p>
      <w:pPr>
        <w:pStyle w:val="BodyText"/>
        <w:spacing w:line="316" w:lineRule="auto" w:before="137"/>
        <w:ind w:left="117" w:right="634" w:firstLine="298"/>
        <w:jc w:val="both"/>
      </w:pPr>
      <w:r>
        <w:rPr/>
        <w:t>Our</w:t>
      </w:r>
      <w:r>
        <w:rPr>
          <w:spacing w:val="-4"/>
        </w:rPr>
        <w:t> </w:t>
      </w:r>
      <w:r>
        <w:rPr/>
        <w:t>dataset</w:t>
      </w:r>
      <w:r>
        <w:rPr>
          <w:spacing w:val="-4"/>
        </w:rPr>
        <w:t> </w:t>
      </w:r>
      <w:r>
        <w:rPr/>
        <w:t>includes</w:t>
      </w:r>
      <w:r>
        <w:rPr>
          <w:spacing w:val="-4"/>
        </w:rPr>
        <w:t> </w:t>
      </w:r>
      <w:r>
        <w:rPr/>
        <w:t>roughly</w:t>
      </w:r>
      <w:r>
        <w:rPr>
          <w:spacing w:val="-4"/>
        </w:rPr>
        <w:t> </w:t>
      </w:r>
      <w:r>
        <w:rPr/>
        <w:t>1200</w:t>
      </w:r>
      <w:r>
        <w:rPr>
          <w:spacing w:val="-4"/>
        </w:rPr>
        <w:t> </w:t>
      </w:r>
      <w:r>
        <w:rPr/>
        <w:t>country-year</w:t>
      </w:r>
      <w:r>
        <w:rPr>
          <w:spacing w:val="-4"/>
        </w:rPr>
        <w:t> </w:t>
      </w:r>
      <w:r>
        <w:rPr/>
        <w:t>cases</w:t>
      </w:r>
      <w:r>
        <w:rPr>
          <w:spacing w:val="-4"/>
        </w:rPr>
        <w:t> </w:t>
      </w:r>
      <w:r>
        <w:rPr/>
        <w:t>of</w:t>
      </w:r>
      <w:r>
        <w:rPr>
          <w:spacing w:val="-4"/>
        </w:rPr>
        <w:t> </w:t>
      </w:r>
      <w:r>
        <w:rPr/>
        <w:t>states</w:t>
      </w:r>
      <w:r>
        <w:rPr>
          <w:spacing w:val="-4"/>
        </w:rPr>
        <w:t> </w:t>
      </w:r>
      <w:r>
        <w:rPr/>
        <w:t>in</w:t>
      </w:r>
      <w:r>
        <w:rPr>
          <w:spacing w:val="-4"/>
        </w:rPr>
        <w:t> </w:t>
      </w:r>
      <w:r>
        <w:rPr/>
        <w:t>which</w:t>
      </w:r>
      <w:r>
        <w:rPr>
          <w:spacing w:val="-4"/>
        </w:rPr>
        <w:t> </w:t>
      </w:r>
      <w:r>
        <w:rPr/>
        <w:t>civil</w:t>
      </w:r>
      <w:r>
        <w:rPr>
          <w:spacing w:val="-4"/>
        </w:rPr>
        <w:t> </w:t>
      </w:r>
      <w:r>
        <w:rPr/>
        <w:t>conflict</w:t>
      </w:r>
      <w:r>
        <w:rPr>
          <w:spacing w:val="-4"/>
        </w:rPr>
        <w:t> </w:t>
      </w:r>
      <w:r>
        <w:rPr/>
        <w:t>was</w:t>
      </w:r>
      <w:r>
        <w:rPr>
          <w:spacing w:val="-4"/>
        </w:rPr>
        <w:t> </w:t>
      </w:r>
      <w:r>
        <w:rPr/>
        <w:t>occurring and for which we have both a measurement of battle related deaths and a measurement of the share</w:t>
      </w:r>
      <w:r>
        <w:rPr>
          <w:spacing w:val="40"/>
        </w:rPr>
        <w:t> </w:t>
      </w:r>
      <w:r>
        <w:rPr/>
        <w:t>of the state’s GDP accounted for by the sale of oil.</w:t>
      </w:r>
      <w:r>
        <w:rPr>
          <w:spacing w:val="40"/>
        </w:rPr>
        <w:t> </w:t>
      </w:r>
      <w:r>
        <w:rPr/>
        <w:t>Among the universe of civil conflict states in the dataset, that average level of military spending was 7.1 billion USD. The average level of oil rents as a share of GDP was 4.75%.</w:t>
      </w:r>
      <w:r>
        <w:rPr>
          <w:spacing w:val="35"/>
        </w:rPr>
        <w:t> </w:t>
      </w:r>
      <w:r>
        <w:rPr/>
        <w:t>The mean level of yearly battle deaths was 703, ranging from 25 to as high</w:t>
      </w:r>
      <w:r>
        <w:rPr>
          <w:spacing w:val="40"/>
        </w:rPr>
        <w:t> </w:t>
      </w:r>
      <w:r>
        <w:rPr/>
        <w:t>as</w:t>
      </w:r>
      <w:r>
        <w:rPr>
          <w:spacing w:val="-2"/>
        </w:rPr>
        <w:t> </w:t>
      </w:r>
      <w:r>
        <w:rPr/>
        <w:t>30,000.</w:t>
      </w:r>
      <w:r>
        <w:rPr>
          <w:spacing w:val="20"/>
        </w:rPr>
        <w:t> </w:t>
      </w:r>
      <w:r>
        <w:rPr/>
        <w:t>However,</w:t>
      </w:r>
      <w:r>
        <w:rPr>
          <w:spacing w:val="-1"/>
        </w:rPr>
        <w:t> </w:t>
      </w:r>
      <w:r>
        <w:rPr/>
        <w:t>the</w:t>
      </w:r>
      <w:r>
        <w:rPr>
          <w:spacing w:val="-1"/>
        </w:rPr>
        <w:t> </w:t>
      </w:r>
      <w:r>
        <w:rPr/>
        <w:t>majority</w:t>
      </w:r>
      <w:r>
        <w:rPr>
          <w:spacing w:val="-1"/>
        </w:rPr>
        <w:t> </w:t>
      </w:r>
      <w:r>
        <w:rPr/>
        <w:t>of</w:t>
      </w:r>
      <w:r>
        <w:rPr>
          <w:spacing w:val="-2"/>
        </w:rPr>
        <w:t> </w:t>
      </w:r>
      <w:r>
        <w:rPr/>
        <w:t>state</w:t>
      </w:r>
      <w:r>
        <w:rPr>
          <w:spacing w:val="-2"/>
        </w:rPr>
        <w:t> </w:t>
      </w:r>
      <w:r>
        <w:rPr/>
        <w:t>cases</w:t>
      </w:r>
      <w:r>
        <w:rPr>
          <w:spacing w:val="-2"/>
        </w:rPr>
        <w:t> </w:t>
      </w:r>
      <w:r>
        <w:rPr/>
        <w:t>in</w:t>
      </w:r>
      <w:r>
        <w:rPr>
          <w:spacing w:val="-1"/>
        </w:rPr>
        <w:t> </w:t>
      </w:r>
      <w:r>
        <w:rPr/>
        <w:t>which</w:t>
      </w:r>
      <w:r>
        <w:rPr>
          <w:spacing w:val="-1"/>
        </w:rPr>
        <w:t> </w:t>
      </w:r>
      <w:r>
        <w:rPr/>
        <w:t>there</w:t>
      </w:r>
      <w:r>
        <w:rPr>
          <w:spacing w:val="-1"/>
        </w:rPr>
        <w:t> </w:t>
      </w:r>
      <w:r>
        <w:rPr/>
        <w:t>was</w:t>
      </w:r>
      <w:r>
        <w:rPr>
          <w:spacing w:val="-2"/>
        </w:rPr>
        <w:t> </w:t>
      </w:r>
      <w:r>
        <w:rPr/>
        <w:t>a</w:t>
      </w:r>
      <w:r>
        <w:rPr>
          <w:spacing w:val="-2"/>
        </w:rPr>
        <w:t> </w:t>
      </w:r>
      <w:r>
        <w:rPr/>
        <w:t>civil</w:t>
      </w:r>
      <w:r>
        <w:rPr>
          <w:spacing w:val="-2"/>
        </w:rPr>
        <w:t> </w:t>
      </w:r>
      <w:r>
        <w:rPr/>
        <w:t>conflict</w:t>
      </w:r>
      <w:r>
        <w:rPr>
          <w:spacing w:val="-2"/>
        </w:rPr>
        <w:t> </w:t>
      </w:r>
      <w:r>
        <w:rPr/>
        <w:t>occurring</w:t>
      </w:r>
      <w:r>
        <w:rPr>
          <w:spacing w:val="-2"/>
        </w:rPr>
        <w:t> </w:t>
      </w:r>
      <w:r>
        <w:rPr/>
        <w:t>saw</w:t>
      </w:r>
      <w:r>
        <w:rPr>
          <w:spacing w:val="-2"/>
        </w:rPr>
        <w:t> </w:t>
      </w:r>
      <w:r>
        <w:rPr/>
        <w:t>fewer than 500 fatalities per year.</w:t>
      </w:r>
      <w:r>
        <w:rPr>
          <w:spacing w:val="37"/>
        </w:rPr>
        <w:t> </w:t>
      </w:r>
      <w:r>
        <w:rPr/>
        <w:t>The mean level of military expenditure as a percentage of GDP and as a percentage of total government spending was 3.2% and 11.9%, respectively.</w:t>
      </w:r>
    </w:p>
    <w:p>
      <w:pPr>
        <w:pStyle w:val="BodyText"/>
        <w:spacing w:line="307" w:lineRule="auto" w:before="133"/>
        <w:ind w:left="117" w:right="634" w:firstLine="298"/>
        <w:jc w:val="both"/>
      </w:pPr>
      <w:r>
        <w:rPr/>
        <w:t>The</w:t>
      </w:r>
      <w:r>
        <w:rPr>
          <w:spacing w:val="-12"/>
        </w:rPr>
        <w:t> </w:t>
      </w:r>
      <w:r>
        <w:rPr/>
        <w:t>conflict</w:t>
      </w:r>
      <w:r>
        <w:rPr>
          <w:spacing w:val="-11"/>
        </w:rPr>
        <w:t> </w:t>
      </w:r>
      <w:r>
        <w:rPr/>
        <w:t>models</w:t>
      </w:r>
      <w:r>
        <w:rPr>
          <w:spacing w:val="-11"/>
        </w:rPr>
        <w:t> </w:t>
      </w:r>
      <w:r>
        <w:rPr/>
        <w:t>we</w:t>
      </w:r>
      <w:r>
        <w:rPr>
          <w:spacing w:val="-11"/>
        </w:rPr>
        <w:t> </w:t>
      </w:r>
      <w:r>
        <w:rPr/>
        <w:t>use</w:t>
      </w:r>
      <w:r>
        <w:rPr>
          <w:spacing w:val="-11"/>
        </w:rPr>
        <w:t> </w:t>
      </w:r>
      <w:r>
        <w:rPr/>
        <w:t>incorporates</w:t>
      </w:r>
      <w:r>
        <w:rPr>
          <w:spacing w:val="-12"/>
        </w:rPr>
        <w:t> </w:t>
      </w:r>
      <w:r>
        <w:rPr/>
        <w:t>a</w:t>
      </w:r>
      <w:r>
        <w:rPr>
          <w:spacing w:val="-11"/>
        </w:rPr>
        <w:t> </w:t>
      </w:r>
      <w:r>
        <w:rPr/>
        <w:t>number</w:t>
      </w:r>
      <w:r>
        <w:rPr>
          <w:spacing w:val="-11"/>
        </w:rPr>
        <w:t> </w:t>
      </w:r>
      <w:r>
        <w:rPr/>
        <w:t>of</w:t>
      </w:r>
      <w:r>
        <w:rPr>
          <w:spacing w:val="-12"/>
        </w:rPr>
        <w:t> </w:t>
      </w:r>
      <w:r>
        <w:rPr/>
        <w:t>controls</w:t>
      </w:r>
      <w:r>
        <w:rPr>
          <w:spacing w:val="-11"/>
        </w:rPr>
        <w:t> </w:t>
      </w:r>
      <w:r>
        <w:rPr/>
        <w:t>for</w:t>
      </w:r>
      <w:r>
        <w:rPr>
          <w:spacing w:val="-11"/>
        </w:rPr>
        <w:t> </w:t>
      </w:r>
      <w:r>
        <w:rPr/>
        <w:t>confounding</w:t>
      </w:r>
      <w:r>
        <w:rPr>
          <w:spacing w:val="-11"/>
        </w:rPr>
        <w:t> </w:t>
      </w:r>
      <w:r>
        <w:rPr/>
        <w:t>variables.</w:t>
      </w:r>
      <w:r>
        <w:rPr>
          <w:spacing w:val="3"/>
        </w:rPr>
        <w:t> </w:t>
      </w:r>
      <w:r>
        <w:rPr/>
        <w:t>The</w:t>
      </w:r>
      <w:r>
        <w:rPr>
          <w:spacing w:val="-12"/>
        </w:rPr>
        <w:t> </w:t>
      </w:r>
      <w:r>
        <w:rPr/>
        <w:t>first</w:t>
      </w:r>
      <w:r>
        <w:rPr>
          <w:spacing w:val="-11"/>
        </w:rPr>
        <w:t> </w:t>
      </w:r>
      <w:r>
        <w:rPr/>
        <w:t>of these</w:t>
      </w:r>
      <w:r>
        <w:rPr>
          <w:spacing w:val="-11"/>
        </w:rPr>
        <w:t> </w:t>
      </w:r>
      <w:r>
        <w:rPr/>
        <w:t>is</w:t>
      </w:r>
      <w:r>
        <w:rPr>
          <w:spacing w:val="-11"/>
        </w:rPr>
        <w:t> </w:t>
      </w:r>
      <w:r>
        <w:rPr/>
        <w:t>population</w:t>
      </w:r>
      <w:r>
        <w:rPr>
          <w:spacing w:val="-11"/>
        </w:rPr>
        <w:t> </w:t>
      </w:r>
      <w:r>
        <w:rPr/>
        <w:t>size.</w:t>
      </w:r>
      <w:r>
        <w:rPr>
          <w:spacing w:val="6"/>
        </w:rPr>
        <w:t> </w:t>
      </w:r>
      <w:r>
        <w:rPr/>
        <w:t>Larger</w:t>
      </w:r>
      <w:r>
        <w:rPr>
          <w:spacing w:val="-11"/>
        </w:rPr>
        <w:t> </w:t>
      </w:r>
      <w:r>
        <w:rPr/>
        <w:t>population</w:t>
      </w:r>
      <w:r>
        <w:rPr>
          <w:spacing w:val="-11"/>
        </w:rPr>
        <w:t> </w:t>
      </w:r>
      <w:r>
        <w:rPr/>
        <w:t>size</w:t>
      </w:r>
      <w:r>
        <w:rPr>
          <w:spacing w:val="-11"/>
        </w:rPr>
        <w:t> </w:t>
      </w:r>
      <w:r>
        <w:rPr/>
        <w:t>should</w:t>
      </w:r>
      <w:r>
        <w:rPr>
          <w:spacing w:val="-11"/>
        </w:rPr>
        <w:t> </w:t>
      </w:r>
      <w:r>
        <w:rPr/>
        <w:t>be</w:t>
      </w:r>
      <w:r>
        <w:rPr>
          <w:spacing w:val="-11"/>
        </w:rPr>
        <w:t> </w:t>
      </w:r>
      <w:r>
        <w:rPr/>
        <w:t>predictive</w:t>
      </w:r>
      <w:r>
        <w:rPr>
          <w:spacing w:val="-11"/>
        </w:rPr>
        <w:t> </w:t>
      </w:r>
      <w:r>
        <w:rPr/>
        <w:t>of</w:t>
      </w:r>
      <w:r>
        <w:rPr>
          <w:spacing w:val="-11"/>
        </w:rPr>
        <w:t> </w:t>
      </w:r>
      <w:r>
        <w:rPr/>
        <w:t>a</w:t>
      </w:r>
      <w:r>
        <w:rPr>
          <w:spacing w:val="-11"/>
        </w:rPr>
        <w:t> </w:t>
      </w:r>
      <w:r>
        <w:rPr/>
        <w:t>higher</w:t>
      </w:r>
      <w:r>
        <w:rPr>
          <w:spacing w:val="-11"/>
        </w:rPr>
        <w:t> </w:t>
      </w:r>
      <w:r>
        <w:rPr/>
        <w:t>number</w:t>
      </w:r>
      <w:r>
        <w:rPr>
          <w:spacing w:val="-11"/>
        </w:rPr>
        <w:t> </w:t>
      </w:r>
      <w:r>
        <w:rPr/>
        <w:t>battle</w:t>
      </w:r>
      <w:r>
        <w:rPr>
          <w:spacing w:val="-11"/>
        </w:rPr>
        <w:t> </w:t>
      </w:r>
      <w:r>
        <w:rPr/>
        <w:t>deaths</w:t>
      </w:r>
      <w:r>
        <w:rPr>
          <w:spacing w:val="-11"/>
        </w:rPr>
        <w:t> </w:t>
      </w:r>
      <w:r>
        <w:rPr/>
        <w:t>in a</w:t>
      </w:r>
      <w:r>
        <w:rPr>
          <w:spacing w:val="-9"/>
        </w:rPr>
        <w:t> </w:t>
      </w:r>
      <w:r>
        <w:rPr/>
        <w:t>civil</w:t>
      </w:r>
      <w:r>
        <w:rPr>
          <w:spacing w:val="-9"/>
        </w:rPr>
        <w:t> </w:t>
      </w:r>
      <w:r>
        <w:rPr/>
        <w:t>conflict.</w:t>
      </w:r>
      <w:r>
        <w:rPr>
          <w:rFonts w:ascii="Century Gothic"/>
          <w:vertAlign w:val="superscript"/>
        </w:rPr>
        <w:t>51</w:t>
      </w:r>
      <w:r>
        <w:rPr>
          <w:rFonts w:ascii="Century Gothic"/>
          <w:vertAlign w:val="baseline"/>
        </w:rPr>
        <w:t> </w:t>
      </w:r>
      <w:r>
        <w:rPr>
          <w:vertAlign w:val="baseline"/>
        </w:rPr>
        <w:t>Among</w:t>
      </w:r>
      <w:r>
        <w:rPr>
          <w:spacing w:val="-9"/>
          <w:vertAlign w:val="baseline"/>
        </w:rPr>
        <w:t> </w:t>
      </w:r>
      <w:r>
        <w:rPr>
          <w:vertAlign w:val="baseline"/>
        </w:rPr>
        <w:t>other</w:t>
      </w:r>
      <w:r>
        <w:rPr>
          <w:spacing w:val="-9"/>
          <w:vertAlign w:val="baseline"/>
        </w:rPr>
        <w:t> </w:t>
      </w:r>
      <w:r>
        <w:rPr>
          <w:vertAlign w:val="baseline"/>
        </w:rPr>
        <w:t>control</w:t>
      </w:r>
      <w:r>
        <w:rPr>
          <w:spacing w:val="-9"/>
          <w:vertAlign w:val="baseline"/>
        </w:rPr>
        <w:t> </w:t>
      </w:r>
      <w:r>
        <w:rPr>
          <w:vertAlign w:val="baseline"/>
        </w:rPr>
        <w:t>measures</w:t>
      </w:r>
      <w:r>
        <w:rPr>
          <w:spacing w:val="-9"/>
          <w:vertAlign w:val="baseline"/>
        </w:rPr>
        <w:t> </w:t>
      </w:r>
      <w:r>
        <w:rPr>
          <w:vertAlign w:val="baseline"/>
        </w:rPr>
        <w:t>used</w:t>
      </w:r>
      <w:r>
        <w:rPr>
          <w:spacing w:val="-9"/>
          <w:vertAlign w:val="baseline"/>
        </w:rPr>
        <w:t> </w:t>
      </w:r>
      <w:r>
        <w:rPr>
          <w:vertAlign w:val="baseline"/>
        </w:rPr>
        <w:t>were</w:t>
      </w:r>
      <w:r>
        <w:rPr>
          <w:spacing w:val="-9"/>
          <w:vertAlign w:val="baseline"/>
        </w:rPr>
        <w:t> </w:t>
      </w:r>
      <w:r>
        <w:rPr>
          <w:vertAlign w:val="baseline"/>
        </w:rPr>
        <w:t>a</w:t>
      </w:r>
      <w:r>
        <w:rPr>
          <w:spacing w:val="-9"/>
          <w:vertAlign w:val="baseline"/>
        </w:rPr>
        <w:t> </w:t>
      </w:r>
      <w:r>
        <w:rPr>
          <w:vertAlign w:val="baseline"/>
        </w:rPr>
        <w:t>security</w:t>
      </w:r>
      <w:r>
        <w:rPr>
          <w:spacing w:val="-9"/>
          <w:vertAlign w:val="baseline"/>
        </w:rPr>
        <w:t> </w:t>
      </w:r>
      <w:r>
        <w:rPr>
          <w:vertAlign w:val="baseline"/>
        </w:rPr>
        <w:t>effectiveness</w:t>
      </w:r>
      <w:r>
        <w:rPr>
          <w:spacing w:val="-9"/>
          <w:vertAlign w:val="baseline"/>
        </w:rPr>
        <w:t> </w:t>
      </w:r>
      <w:r>
        <w:rPr>
          <w:vertAlign w:val="baseline"/>
        </w:rPr>
        <w:t>score</w:t>
      </w:r>
      <w:r>
        <w:rPr>
          <w:spacing w:val="-9"/>
          <w:vertAlign w:val="baseline"/>
        </w:rPr>
        <w:t> </w:t>
      </w:r>
      <w:r>
        <w:rPr>
          <w:vertAlign w:val="baseline"/>
        </w:rPr>
        <w:t>taken</w:t>
      </w:r>
      <w:r>
        <w:rPr>
          <w:spacing w:val="-9"/>
          <w:vertAlign w:val="baseline"/>
        </w:rPr>
        <w:t> </w:t>
      </w:r>
      <w:r>
        <w:rPr>
          <w:vertAlign w:val="baseline"/>
        </w:rPr>
        <w:t>from</w:t>
      </w:r>
      <w:r>
        <w:rPr>
          <w:spacing w:val="-9"/>
          <w:vertAlign w:val="baseline"/>
        </w:rPr>
        <w:t> </w:t>
      </w:r>
      <w:r>
        <w:rPr>
          <w:vertAlign w:val="baseline"/>
        </w:rPr>
        <w:t>the Center for Systemic Peace (which also produces the well-known Polity series).</w:t>
      </w:r>
      <w:r>
        <w:rPr>
          <w:spacing w:val="37"/>
          <w:vertAlign w:val="baseline"/>
        </w:rPr>
        <w:t> </w:t>
      </w:r>
      <w:r>
        <w:rPr>
          <w:vertAlign w:val="baseline"/>
        </w:rPr>
        <w:t>A higher score on this index indicates a less secure state, making it a good indicator of state capacity.</w:t>
      </w:r>
      <w:r>
        <w:rPr>
          <w:spacing w:val="36"/>
          <w:vertAlign w:val="baseline"/>
        </w:rPr>
        <w:t> </w:t>
      </w:r>
      <w:r>
        <w:rPr>
          <w:vertAlign w:val="baseline"/>
        </w:rPr>
        <w:t>Lastly, GDP was also introduced</w:t>
      </w:r>
      <w:r>
        <w:rPr>
          <w:spacing w:val="-5"/>
          <w:vertAlign w:val="baseline"/>
        </w:rPr>
        <w:t> </w:t>
      </w:r>
      <w:r>
        <w:rPr>
          <w:vertAlign w:val="baseline"/>
        </w:rPr>
        <w:t>as</w:t>
      </w:r>
      <w:r>
        <w:rPr>
          <w:spacing w:val="-5"/>
          <w:vertAlign w:val="baseline"/>
        </w:rPr>
        <w:t> </w:t>
      </w:r>
      <w:r>
        <w:rPr>
          <w:vertAlign w:val="baseline"/>
        </w:rPr>
        <w:t>a</w:t>
      </w:r>
      <w:r>
        <w:rPr>
          <w:spacing w:val="-5"/>
          <w:vertAlign w:val="baseline"/>
        </w:rPr>
        <w:t> </w:t>
      </w:r>
      <w:r>
        <w:rPr>
          <w:vertAlign w:val="baseline"/>
        </w:rPr>
        <w:t>control</w:t>
      </w:r>
      <w:r>
        <w:rPr>
          <w:spacing w:val="-5"/>
          <w:vertAlign w:val="baseline"/>
        </w:rPr>
        <w:t> </w:t>
      </w:r>
      <w:r>
        <w:rPr>
          <w:vertAlign w:val="baseline"/>
        </w:rPr>
        <w:t>variable,</w:t>
      </w:r>
      <w:r>
        <w:rPr>
          <w:spacing w:val="-5"/>
          <w:vertAlign w:val="baseline"/>
        </w:rPr>
        <w:t> </w:t>
      </w:r>
      <w:r>
        <w:rPr>
          <w:vertAlign w:val="baseline"/>
        </w:rPr>
        <w:t>another</w:t>
      </w:r>
      <w:r>
        <w:rPr>
          <w:spacing w:val="-5"/>
          <w:vertAlign w:val="baseline"/>
        </w:rPr>
        <w:t> </w:t>
      </w:r>
      <w:r>
        <w:rPr>
          <w:vertAlign w:val="baseline"/>
        </w:rPr>
        <w:t>measure</w:t>
      </w:r>
      <w:r>
        <w:rPr>
          <w:spacing w:val="-5"/>
          <w:vertAlign w:val="baseline"/>
        </w:rPr>
        <w:t> </w:t>
      </w:r>
      <w:r>
        <w:rPr>
          <w:vertAlign w:val="baseline"/>
        </w:rPr>
        <w:t>of</w:t>
      </w:r>
      <w:r>
        <w:rPr>
          <w:spacing w:val="-5"/>
          <w:vertAlign w:val="baseline"/>
        </w:rPr>
        <w:t> </w:t>
      </w:r>
      <w:r>
        <w:rPr>
          <w:vertAlign w:val="baseline"/>
        </w:rPr>
        <w:t>relative</w:t>
      </w:r>
      <w:r>
        <w:rPr>
          <w:spacing w:val="-5"/>
          <w:vertAlign w:val="baseline"/>
        </w:rPr>
        <w:t> </w:t>
      </w:r>
      <w:r>
        <w:rPr>
          <w:vertAlign w:val="baseline"/>
        </w:rPr>
        <w:t>state</w:t>
      </w:r>
      <w:r>
        <w:rPr>
          <w:spacing w:val="-5"/>
          <w:vertAlign w:val="baseline"/>
        </w:rPr>
        <w:t> </w:t>
      </w:r>
      <w:r>
        <w:rPr>
          <w:vertAlign w:val="baseline"/>
        </w:rPr>
        <w:t>capacity</w:t>
      </w:r>
      <w:r>
        <w:rPr>
          <w:spacing w:val="-5"/>
          <w:vertAlign w:val="baseline"/>
        </w:rPr>
        <w:t> </w:t>
      </w:r>
      <w:r>
        <w:rPr>
          <w:vertAlign w:val="baseline"/>
        </w:rPr>
        <w:t>and</w:t>
      </w:r>
      <w:r>
        <w:rPr>
          <w:spacing w:val="-5"/>
          <w:vertAlign w:val="baseline"/>
        </w:rPr>
        <w:t> </w:t>
      </w:r>
      <w:r>
        <w:rPr>
          <w:vertAlign w:val="baseline"/>
        </w:rPr>
        <w:t>size.</w:t>
      </w:r>
      <w:r>
        <w:rPr>
          <w:rFonts w:ascii="Century Gothic"/>
          <w:vertAlign w:val="superscript"/>
        </w:rPr>
        <w:t>52</w:t>
      </w:r>
      <w:r>
        <w:rPr>
          <w:rFonts w:ascii="Century Gothic"/>
          <w:vertAlign w:val="baseline"/>
        </w:rPr>
        <w:t> </w:t>
      </w:r>
      <w:r>
        <w:rPr>
          <w:vertAlign w:val="baseline"/>
        </w:rPr>
        <w:t>The</w:t>
      </w:r>
      <w:r>
        <w:rPr>
          <w:spacing w:val="-5"/>
          <w:vertAlign w:val="baseline"/>
        </w:rPr>
        <w:t> </w:t>
      </w:r>
      <w:r>
        <w:rPr>
          <w:vertAlign w:val="baseline"/>
        </w:rPr>
        <w:t>models</w:t>
      </w:r>
      <w:r>
        <w:rPr>
          <w:spacing w:val="-5"/>
          <w:vertAlign w:val="baseline"/>
        </w:rPr>
        <w:t> </w:t>
      </w:r>
      <w:r>
        <w:rPr>
          <w:vertAlign w:val="baseline"/>
        </w:rPr>
        <w:t>also include fixed effects which are described in detail in the results section.</w:t>
      </w:r>
    </w:p>
    <w:p>
      <w:pPr>
        <w:pStyle w:val="BodyText"/>
        <w:spacing w:line="309" w:lineRule="auto" w:before="151"/>
        <w:ind w:left="117" w:right="635" w:firstLine="298"/>
        <w:jc w:val="both"/>
        <w:rPr>
          <w:rFonts w:ascii="Century Gothic"/>
        </w:rPr>
      </w:pPr>
      <w:r>
        <w:rPr/>
        <w:t>The model examining military expenditures and conflict carries some concern about endogenous variables.</w:t>
      </w:r>
      <w:r>
        <w:rPr>
          <w:spacing w:val="40"/>
        </w:rPr>
        <w:t> </w:t>
      </w:r>
      <w:r>
        <w:rPr/>
        <w:t>States in more severe conflicts will tend to spend more on the military.</w:t>
      </w:r>
      <w:r>
        <w:rPr>
          <w:spacing w:val="40"/>
        </w:rPr>
        <w:t> </w:t>
      </w:r>
      <w:r>
        <w:rPr/>
        <w:t>The presence of</w:t>
      </w:r>
      <w:r>
        <w:rPr>
          <w:spacing w:val="40"/>
        </w:rPr>
        <w:t> </w:t>
      </w:r>
      <w:r>
        <w:rPr/>
        <w:t>this</w:t>
      </w:r>
      <w:r>
        <w:rPr>
          <w:spacing w:val="-7"/>
        </w:rPr>
        <w:t> </w:t>
      </w:r>
      <w:r>
        <w:rPr/>
        <w:t>effect</w:t>
      </w:r>
      <w:r>
        <w:rPr>
          <w:spacing w:val="-7"/>
        </w:rPr>
        <w:t> </w:t>
      </w:r>
      <w:r>
        <w:rPr/>
        <w:t>serves</w:t>
      </w:r>
      <w:r>
        <w:rPr>
          <w:spacing w:val="-7"/>
        </w:rPr>
        <w:t> </w:t>
      </w:r>
      <w:r>
        <w:rPr/>
        <w:t>to</w:t>
      </w:r>
      <w:r>
        <w:rPr>
          <w:spacing w:val="-7"/>
        </w:rPr>
        <w:t> </w:t>
      </w:r>
      <w:r>
        <w:rPr/>
        <w:t>work</w:t>
      </w:r>
      <w:r>
        <w:rPr>
          <w:spacing w:val="-7"/>
        </w:rPr>
        <w:t> </w:t>
      </w:r>
      <w:r>
        <w:rPr/>
        <w:t>against</w:t>
      </w:r>
      <w:r>
        <w:rPr>
          <w:spacing w:val="-7"/>
        </w:rPr>
        <w:t> </w:t>
      </w:r>
      <w:r>
        <w:rPr/>
        <w:t>our</w:t>
      </w:r>
      <w:r>
        <w:rPr>
          <w:spacing w:val="-7"/>
        </w:rPr>
        <w:t> </w:t>
      </w:r>
      <w:r>
        <w:rPr/>
        <w:t>hypothesis,</w:t>
      </w:r>
      <w:r>
        <w:rPr>
          <w:spacing w:val="-7"/>
        </w:rPr>
        <w:t> </w:t>
      </w:r>
      <w:r>
        <w:rPr/>
        <w:t>and</w:t>
      </w:r>
      <w:r>
        <w:rPr>
          <w:spacing w:val="-7"/>
        </w:rPr>
        <w:t> </w:t>
      </w:r>
      <w:r>
        <w:rPr/>
        <w:t>we</w:t>
      </w:r>
      <w:r>
        <w:rPr>
          <w:spacing w:val="-7"/>
        </w:rPr>
        <w:t> </w:t>
      </w:r>
      <w:r>
        <w:rPr/>
        <w:t>control</w:t>
      </w:r>
      <w:r>
        <w:rPr>
          <w:spacing w:val="-7"/>
        </w:rPr>
        <w:t> </w:t>
      </w:r>
      <w:r>
        <w:rPr/>
        <w:t>for</w:t>
      </w:r>
      <w:r>
        <w:rPr>
          <w:spacing w:val="-7"/>
        </w:rPr>
        <w:t> </w:t>
      </w:r>
      <w:r>
        <w:rPr/>
        <w:t>it</w:t>
      </w:r>
      <w:r>
        <w:rPr>
          <w:spacing w:val="-7"/>
        </w:rPr>
        <w:t> </w:t>
      </w:r>
      <w:r>
        <w:rPr/>
        <w:t>by</w:t>
      </w:r>
      <w:r>
        <w:rPr>
          <w:spacing w:val="-7"/>
        </w:rPr>
        <w:t> </w:t>
      </w:r>
      <w:r>
        <w:rPr/>
        <w:t>incorporating</w:t>
      </w:r>
      <w:r>
        <w:rPr>
          <w:spacing w:val="-7"/>
        </w:rPr>
        <w:t> </w:t>
      </w:r>
      <w:r>
        <w:rPr/>
        <w:t>previous</w:t>
      </w:r>
      <w:r>
        <w:rPr>
          <w:spacing w:val="-7"/>
        </w:rPr>
        <w:t> </w:t>
      </w:r>
      <w:r>
        <w:rPr/>
        <w:t>period conflict intensity as a control, as well as fixed effects.</w:t>
      </w:r>
      <w:r>
        <w:rPr>
          <w:rFonts w:ascii="Century Gothic"/>
          <w:vertAlign w:val="superscript"/>
        </w:rPr>
        <w:t>53</w:t>
      </w:r>
    </w:p>
    <w:p>
      <w:pPr>
        <w:pStyle w:val="BodyText"/>
        <w:spacing w:line="307" w:lineRule="auto" w:before="142"/>
        <w:ind w:left="117" w:right="633" w:firstLine="298"/>
        <w:jc w:val="both"/>
      </w:pPr>
      <w:r>
        <w:rPr>
          <w:spacing w:val="-2"/>
        </w:rPr>
        <w:t>The</w:t>
      </w:r>
      <w:r>
        <w:rPr>
          <w:spacing w:val="-4"/>
        </w:rPr>
        <w:t> </w:t>
      </w:r>
      <w:r>
        <w:rPr>
          <w:spacing w:val="-2"/>
        </w:rPr>
        <w:t>spending</w:t>
      </w:r>
      <w:r>
        <w:rPr>
          <w:spacing w:val="-4"/>
        </w:rPr>
        <w:t> </w:t>
      </w:r>
      <w:r>
        <w:rPr>
          <w:spacing w:val="-2"/>
        </w:rPr>
        <w:t>models</w:t>
      </w:r>
      <w:r>
        <w:rPr>
          <w:spacing w:val="-4"/>
        </w:rPr>
        <w:t> </w:t>
      </w:r>
      <w:r>
        <w:rPr>
          <w:spacing w:val="-2"/>
        </w:rPr>
        <w:t>include</w:t>
      </w:r>
      <w:r>
        <w:rPr>
          <w:spacing w:val="-4"/>
        </w:rPr>
        <w:t> </w:t>
      </w:r>
      <w:r>
        <w:rPr>
          <w:spacing w:val="-2"/>
        </w:rPr>
        <w:t>controls</w:t>
      </w:r>
      <w:r>
        <w:rPr>
          <w:spacing w:val="-4"/>
        </w:rPr>
        <w:t> </w:t>
      </w:r>
      <w:r>
        <w:rPr>
          <w:spacing w:val="-2"/>
        </w:rPr>
        <w:t>for</w:t>
      </w:r>
      <w:r>
        <w:rPr>
          <w:spacing w:val="-4"/>
        </w:rPr>
        <w:t> </w:t>
      </w:r>
      <w:r>
        <w:rPr>
          <w:spacing w:val="-2"/>
        </w:rPr>
        <w:t>GDP,</w:t>
      </w:r>
      <w:r>
        <w:rPr>
          <w:spacing w:val="-4"/>
        </w:rPr>
        <w:t> </w:t>
      </w:r>
      <w:r>
        <w:rPr>
          <w:spacing w:val="-2"/>
        </w:rPr>
        <w:t>total</w:t>
      </w:r>
      <w:r>
        <w:rPr>
          <w:spacing w:val="-4"/>
        </w:rPr>
        <w:t> </w:t>
      </w:r>
      <w:r>
        <w:rPr>
          <w:spacing w:val="-2"/>
        </w:rPr>
        <w:t>currency</w:t>
      </w:r>
      <w:r>
        <w:rPr>
          <w:spacing w:val="-4"/>
        </w:rPr>
        <w:t> </w:t>
      </w:r>
      <w:r>
        <w:rPr>
          <w:spacing w:val="-2"/>
        </w:rPr>
        <w:t>reserves</w:t>
      </w:r>
      <w:r>
        <w:rPr>
          <w:spacing w:val="-4"/>
        </w:rPr>
        <w:t> </w:t>
      </w:r>
      <w:r>
        <w:rPr>
          <w:spacing w:val="-2"/>
        </w:rPr>
        <w:t>(excluding</w:t>
      </w:r>
      <w:r>
        <w:rPr>
          <w:spacing w:val="-4"/>
        </w:rPr>
        <w:t> </w:t>
      </w:r>
      <w:r>
        <w:rPr>
          <w:spacing w:val="-2"/>
        </w:rPr>
        <w:t>gold), and</w:t>
      </w:r>
      <w:r>
        <w:rPr>
          <w:spacing w:val="-4"/>
        </w:rPr>
        <w:t> </w:t>
      </w:r>
      <w:r>
        <w:rPr>
          <w:spacing w:val="-2"/>
        </w:rPr>
        <w:t>govern- </w:t>
      </w:r>
      <w:r>
        <w:rPr/>
        <w:t>ment</w:t>
      </w:r>
      <w:r>
        <w:rPr>
          <w:spacing w:val="-12"/>
        </w:rPr>
        <w:t> </w:t>
      </w:r>
      <w:r>
        <w:rPr/>
        <w:t>debt,</w:t>
      </w:r>
      <w:r>
        <w:rPr>
          <w:spacing w:val="-11"/>
        </w:rPr>
        <w:t> </w:t>
      </w:r>
      <w:r>
        <w:rPr/>
        <w:t>all</w:t>
      </w:r>
      <w:r>
        <w:rPr>
          <w:spacing w:val="-12"/>
        </w:rPr>
        <w:t> </w:t>
      </w:r>
      <w:r>
        <w:rPr/>
        <w:t>taken</w:t>
      </w:r>
      <w:r>
        <w:rPr>
          <w:spacing w:val="-12"/>
        </w:rPr>
        <w:t> </w:t>
      </w:r>
      <w:r>
        <w:rPr/>
        <w:t>from</w:t>
      </w:r>
      <w:r>
        <w:rPr>
          <w:spacing w:val="-12"/>
        </w:rPr>
        <w:t> </w:t>
      </w:r>
      <w:r>
        <w:rPr/>
        <w:t>the</w:t>
      </w:r>
      <w:r>
        <w:rPr>
          <w:spacing w:val="-12"/>
        </w:rPr>
        <w:t> </w:t>
      </w:r>
      <w:r>
        <w:rPr/>
        <w:t>World</w:t>
      </w:r>
      <w:r>
        <w:rPr>
          <w:spacing w:val="-12"/>
        </w:rPr>
        <w:t> </w:t>
      </w:r>
      <w:r>
        <w:rPr/>
        <w:t>Bank</w:t>
      </w:r>
      <w:r>
        <w:rPr>
          <w:spacing w:val="-12"/>
        </w:rPr>
        <w:t> </w:t>
      </w:r>
      <w:r>
        <w:rPr/>
        <w:t>data.</w:t>
      </w:r>
      <w:r>
        <w:rPr>
          <w:spacing w:val="8"/>
        </w:rPr>
        <w:t> </w:t>
      </w:r>
      <w:r>
        <w:rPr/>
        <w:t>Each</w:t>
      </w:r>
      <w:r>
        <w:rPr>
          <w:spacing w:val="-12"/>
        </w:rPr>
        <w:t> </w:t>
      </w:r>
      <w:r>
        <w:rPr/>
        <w:t>of</w:t>
      </w:r>
      <w:r>
        <w:rPr>
          <w:spacing w:val="-12"/>
        </w:rPr>
        <w:t> </w:t>
      </w:r>
      <w:r>
        <w:rPr/>
        <w:t>these</w:t>
      </w:r>
      <w:r>
        <w:rPr>
          <w:spacing w:val="-12"/>
        </w:rPr>
        <w:t> </w:t>
      </w:r>
      <w:r>
        <w:rPr/>
        <w:t>measures</w:t>
      </w:r>
      <w:r>
        <w:rPr>
          <w:spacing w:val="-12"/>
        </w:rPr>
        <w:t> </w:t>
      </w:r>
      <w:r>
        <w:rPr/>
        <w:t>should</w:t>
      </w:r>
      <w:r>
        <w:rPr>
          <w:spacing w:val="-12"/>
        </w:rPr>
        <w:t> </w:t>
      </w:r>
      <w:r>
        <w:rPr/>
        <w:t>be</w:t>
      </w:r>
      <w:r>
        <w:rPr>
          <w:spacing w:val="-12"/>
        </w:rPr>
        <w:t> </w:t>
      </w:r>
      <w:r>
        <w:rPr/>
        <w:t>expected</w:t>
      </w:r>
      <w:r>
        <w:rPr>
          <w:spacing w:val="-12"/>
        </w:rPr>
        <w:t> </w:t>
      </w:r>
      <w:r>
        <w:rPr/>
        <w:t>to</w:t>
      </w:r>
      <w:r>
        <w:rPr>
          <w:spacing w:val="-12"/>
        </w:rPr>
        <w:t> </w:t>
      </w:r>
      <w:r>
        <w:rPr/>
        <w:t>positively relate to military spending, as they are measures of government resources and state capacity.</w:t>
      </w:r>
      <w:r>
        <w:rPr>
          <w:rFonts w:ascii="Century Gothic"/>
          <w:vertAlign w:val="superscript"/>
        </w:rPr>
        <w:t>54</w:t>
      </w:r>
      <w:r>
        <w:rPr>
          <w:rFonts w:ascii="Century Gothic"/>
          <w:spacing w:val="40"/>
          <w:vertAlign w:val="baseline"/>
        </w:rPr>
        <w:t> </w:t>
      </w:r>
      <w:r>
        <w:rPr>
          <w:vertAlign w:val="baseline"/>
        </w:rPr>
        <w:t>The spending models also include controls for fixed effects.</w:t>
      </w:r>
    </w:p>
    <w:p>
      <w:pPr>
        <w:pStyle w:val="BodyText"/>
        <w:spacing w:line="316" w:lineRule="auto" w:before="151"/>
        <w:ind w:left="117" w:right="633" w:firstLine="298"/>
        <w:jc w:val="both"/>
      </w:pPr>
      <w:r>
        <w:rPr/>
        <w:pict>
          <v:shape style="position:absolute;margin-left:70.865997pt;margin-top:99.553917pt;width:179.75pt;height:.1pt;mso-position-horizontal-relative:page;mso-position-vertical-relative:paragraph;z-index:-15724544;mso-wrap-distance-left:0;mso-wrap-distance-right:0" id="docshape11" coordorigin="1417,1991" coordsize="3595,0" path="m1417,1991l5012,1991e" filled="false" stroked="true" strokeweight=".398pt" strokecolor="#000000">
            <v:path arrowok="t"/>
            <v:stroke dashstyle="solid"/>
            <w10:wrap type="topAndBottom"/>
          </v:shape>
        </w:pict>
      </w:r>
      <w:r>
        <w:rPr/>
        <w:t>A initial examination of this aggregated data indicates support for H1.</w:t>
      </w:r>
      <w:r>
        <w:rPr>
          <w:spacing w:val="40"/>
        </w:rPr>
        <w:t> </w:t>
      </w:r>
      <w:r>
        <w:rPr/>
        <w:t>A full move across the</w:t>
      </w:r>
      <w:r>
        <w:rPr>
          <w:spacing w:val="40"/>
        </w:rPr>
        <w:t> </w:t>
      </w:r>
      <w:r>
        <w:rPr/>
        <w:t>range of observed price values for WTI Crude Oil in the dataset (from the lowest observed price to the highest) is predictive of over 50 fewer monthly deaths in ongoing civil conflicts on average among the most</w:t>
      </w:r>
      <w:r>
        <w:rPr>
          <w:spacing w:val="-8"/>
        </w:rPr>
        <w:t> </w:t>
      </w:r>
      <w:r>
        <w:rPr/>
        <w:t>oil-reliant</w:t>
      </w:r>
      <w:r>
        <w:rPr>
          <w:spacing w:val="-8"/>
        </w:rPr>
        <w:t> </w:t>
      </w:r>
      <w:r>
        <w:rPr/>
        <w:t>conflict</w:t>
      </w:r>
      <w:r>
        <w:rPr>
          <w:spacing w:val="-8"/>
        </w:rPr>
        <w:t> </w:t>
      </w:r>
      <w:r>
        <w:rPr/>
        <w:t>states</w:t>
      </w:r>
      <w:r>
        <w:rPr>
          <w:spacing w:val="-8"/>
        </w:rPr>
        <w:t> </w:t>
      </w:r>
      <w:r>
        <w:rPr/>
        <w:t>observed</w:t>
      </w:r>
      <w:r>
        <w:rPr>
          <w:spacing w:val="-8"/>
        </w:rPr>
        <w:t> </w:t>
      </w:r>
      <w:r>
        <w:rPr/>
        <w:t>(where</w:t>
      </w:r>
      <w:r>
        <w:rPr>
          <w:spacing w:val="-8"/>
        </w:rPr>
        <w:t> </w:t>
      </w:r>
      <w:r>
        <w:rPr/>
        <w:t>oil</w:t>
      </w:r>
      <w:r>
        <w:rPr>
          <w:spacing w:val="-8"/>
        </w:rPr>
        <w:t> </w:t>
      </w:r>
      <w:r>
        <w:rPr/>
        <w:t>rents</w:t>
      </w:r>
      <w:r>
        <w:rPr>
          <w:spacing w:val="-8"/>
        </w:rPr>
        <w:t> </w:t>
      </w:r>
      <w:r>
        <w:rPr/>
        <w:t>were</w:t>
      </w:r>
      <w:r>
        <w:rPr>
          <w:spacing w:val="-8"/>
        </w:rPr>
        <w:t> </w:t>
      </w:r>
      <w:r>
        <w:rPr/>
        <w:t>greater</w:t>
      </w:r>
      <w:r>
        <w:rPr>
          <w:spacing w:val="-8"/>
        </w:rPr>
        <w:t> </w:t>
      </w:r>
      <w:r>
        <w:rPr/>
        <w:t>than</w:t>
      </w:r>
      <w:r>
        <w:rPr>
          <w:spacing w:val="-8"/>
        </w:rPr>
        <w:t> </w:t>
      </w:r>
      <w:r>
        <w:rPr/>
        <w:t>20</w:t>
      </w:r>
      <w:r>
        <w:rPr>
          <w:spacing w:val="-8"/>
        </w:rPr>
        <w:t> </w:t>
      </w:r>
      <w:r>
        <w:rPr/>
        <w:t>percent</w:t>
      </w:r>
      <w:r>
        <w:rPr>
          <w:spacing w:val="-8"/>
        </w:rPr>
        <w:t> </w:t>
      </w:r>
      <w:r>
        <w:rPr/>
        <w:t>of</w:t>
      </w:r>
      <w:r>
        <w:rPr>
          <w:spacing w:val="-8"/>
        </w:rPr>
        <w:t> </w:t>
      </w:r>
      <w:r>
        <w:rPr/>
        <w:t>GDP).</w:t>
      </w:r>
      <w:r>
        <w:rPr>
          <w:spacing w:val="-8"/>
        </w:rPr>
        <w:t> </w:t>
      </w:r>
      <w:r>
        <w:rPr/>
        <w:t>A</w:t>
      </w:r>
      <w:r>
        <w:rPr>
          <w:spacing w:val="-8"/>
        </w:rPr>
        <w:t> </w:t>
      </w:r>
      <w:r>
        <w:rPr/>
        <w:t>figure illustrating this association can be found in the appendix.</w:t>
      </w:r>
      <w:r>
        <w:rPr>
          <w:spacing w:val="40"/>
        </w:rPr>
        <w:t> </w:t>
      </w:r>
      <w:r>
        <w:rPr/>
        <w:t>In the next section we rigorously examine the data to determine the strength and characteristics of this relationship.</w:t>
      </w:r>
    </w:p>
    <w:p>
      <w:pPr>
        <w:spacing w:before="34"/>
        <w:ind w:left="266" w:right="0" w:firstLine="0"/>
        <w:jc w:val="left"/>
        <w:rPr>
          <w:rFonts w:ascii="Bookman Old Style"/>
          <w:b w:val="0"/>
          <w:sz w:val="16"/>
        </w:rPr>
      </w:pPr>
      <w:r>
        <w:rPr>
          <w:rFonts w:ascii="Bookman Old Style"/>
          <w:b w:val="0"/>
          <w:spacing w:val="-4"/>
          <w:sz w:val="16"/>
          <w:vertAlign w:val="superscript"/>
        </w:rPr>
        <w:t>51</w:t>
      </w:r>
      <w:r>
        <w:rPr>
          <w:rFonts w:ascii="Bookman Old Style"/>
          <w:b w:val="0"/>
          <w:spacing w:val="-4"/>
          <w:sz w:val="16"/>
          <w:vertAlign w:val="baseline"/>
        </w:rPr>
        <w:t>See</w:t>
      </w:r>
      <w:r>
        <w:rPr>
          <w:rFonts w:ascii="Bookman Old Style"/>
          <w:b w:val="0"/>
          <w:spacing w:val="-3"/>
          <w:sz w:val="16"/>
          <w:vertAlign w:val="baseline"/>
        </w:rPr>
        <w:t> </w:t>
      </w:r>
      <w:r>
        <w:rPr>
          <w:rFonts w:ascii="Bookman Old Style"/>
          <w:b w:val="0"/>
          <w:spacing w:val="-4"/>
          <w:sz w:val="16"/>
          <w:vertAlign w:val="baseline"/>
        </w:rPr>
        <w:t>Bruckner</w:t>
      </w:r>
      <w:r>
        <w:rPr>
          <w:rFonts w:ascii="Bookman Old Style"/>
          <w:b w:val="0"/>
          <w:spacing w:val="-3"/>
          <w:sz w:val="16"/>
          <w:vertAlign w:val="baseline"/>
        </w:rPr>
        <w:t> </w:t>
      </w:r>
      <w:r>
        <w:rPr>
          <w:rFonts w:ascii="Bookman Old Style"/>
          <w:b w:val="0"/>
          <w:spacing w:val="-4"/>
          <w:sz w:val="16"/>
          <w:vertAlign w:val="baseline"/>
        </w:rPr>
        <w:t>2010</w:t>
      </w:r>
    </w:p>
    <w:p>
      <w:pPr>
        <w:spacing w:before="2"/>
        <w:ind w:left="266" w:right="0" w:firstLine="0"/>
        <w:jc w:val="left"/>
        <w:rPr>
          <w:rFonts w:ascii="Bookman Old Style" w:hAnsi="Bookman Old Style"/>
          <w:b w:val="0"/>
          <w:sz w:val="16"/>
        </w:rPr>
      </w:pPr>
      <w:r>
        <w:rPr>
          <w:rFonts w:ascii="Bookman Old Style" w:hAnsi="Bookman Old Style"/>
          <w:b w:val="0"/>
          <w:sz w:val="16"/>
          <w:vertAlign w:val="superscript"/>
        </w:rPr>
        <w:t>52</w:t>
      </w:r>
      <w:r>
        <w:rPr>
          <w:rFonts w:ascii="Bookman Old Style" w:hAnsi="Bookman Old Style"/>
          <w:b w:val="0"/>
          <w:sz w:val="16"/>
          <w:vertAlign w:val="baseline"/>
        </w:rPr>
        <w:t>See</w:t>
      </w:r>
      <w:r>
        <w:rPr>
          <w:rFonts w:ascii="Bookman Old Style" w:hAnsi="Bookman Old Style"/>
          <w:b w:val="0"/>
          <w:spacing w:val="-3"/>
          <w:sz w:val="16"/>
          <w:vertAlign w:val="baseline"/>
        </w:rPr>
        <w:t> </w:t>
      </w:r>
      <w:r>
        <w:rPr>
          <w:rFonts w:ascii="Bookman Old Style" w:hAnsi="Bookman Old Style"/>
          <w:b w:val="0"/>
          <w:sz w:val="16"/>
          <w:vertAlign w:val="baseline"/>
        </w:rPr>
        <w:t>d’Agostino</w:t>
      </w:r>
      <w:r>
        <w:rPr>
          <w:rFonts w:ascii="Bookman Old Style" w:hAnsi="Bookman Old Style"/>
          <w:b w:val="0"/>
          <w:spacing w:val="-3"/>
          <w:sz w:val="16"/>
          <w:vertAlign w:val="baseline"/>
        </w:rPr>
        <w:t> </w:t>
      </w:r>
      <w:r>
        <w:rPr>
          <w:rFonts w:ascii="Bookman Old Style" w:hAnsi="Bookman Old Style"/>
          <w:b w:val="0"/>
          <w:sz w:val="16"/>
          <w:vertAlign w:val="baseline"/>
        </w:rPr>
        <w:t>et</w:t>
      </w:r>
      <w:r>
        <w:rPr>
          <w:rFonts w:ascii="Bookman Old Style" w:hAnsi="Bookman Old Style"/>
          <w:b w:val="0"/>
          <w:spacing w:val="-2"/>
          <w:sz w:val="16"/>
          <w:vertAlign w:val="baseline"/>
        </w:rPr>
        <w:t> </w:t>
      </w:r>
      <w:r>
        <w:rPr>
          <w:rFonts w:ascii="Bookman Old Style" w:hAnsi="Bookman Old Style"/>
          <w:b w:val="0"/>
          <w:sz w:val="16"/>
          <w:vertAlign w:val="baseline"/>
        </w:rPr>
        <w:t>al</w:t>
      </w:r>
      <w:r>
        <w:rPr>
          <w:rFonts w:ascii="Bookman Old Style" w:hAnsi="Bookman Old Style"/>
          <w:b w:val="0"/>
          <w:spacing w:val="-3"/>
          <w:sz w:val="16"/>
          <w:vertAlign w:val="baseline"/>
        </w:rPr>
        <w:t> </w:t>
      </w:r>
      <w:r>
        <w:rPr>
          <w:rFonts w:ascii="Bookman Old Style" w:hAnsi="Bookman Old Style"/>
          <w:b w:val="0"/>
          <w:spacing w:val="-4"/>
          <w:sz w:val="16"/>
          <w:vertAlign w:val="baseline"/>
        </w:rPr>
        <w:t>2019</w:t>
      </w:r>
    </w:p>
    <w:p>
      <w:pPr>
        <w:spacing w:before="2"/>
        <w:ind w:left="266" w:right="0" w:firstLine="0"/>
        <w:jc w:val="left"/>
        <w:rPr>
          <w:rFonts w:ascii="Bookman Old Style"/>
          <w:b w:val="0"/>
          <w:sz w:val="16"/>
        </w:rPr>
      </w:pPr>
      <w:r>
        <w:rPr>
          <w:rFonts w:ascii="Bookman Old Style"/>
          <w:b w:val="0"/>
          <w:spacing w:val="-2"/>
          <w:sz w:val="16"/>
          <w:vertAlign w:val="superscript"/>
        </w:rPr>
        <w:t>53</w:t>
      </w:r>
      <w:r>
        <w:rPr>
          <w:rFonts w:ascii="Bookman Old Style"/>
          <w:b w:val="0"/>
          <w:spacing w:val="-2"/>
          <w:sz w:val="16"/>
          <w:vertAlign w:val="baseline"/>
        </w:rPr>
        <w:t>ibid</w:t>
      </w:r>
    </w:p>
    <w:p>
      <w:pPr>
        <w:spacing w:before="3"/>
        <w:ind w:left="266" w:right="0" w:firstLine="0"/>
        <w:jc w:val="left"/>
        <w:rPr>
          <w:rFonts w:ascii="Bookman Old Style"/>
          <w:b w:val="0"/>
          <w:sz w:val="16"/>
        </w:rPr>
      </w:pPr>
      <w:r>
        <w:rPr>
          <w:rFonts w:ascii="Bookman Old Style"/>
          <w:b w:val="0"/>
          <w:sz w:val="16"/>
          <w:vertAlign w:val="superscript"/>
        </w:rPr>
        <w:t>54</w:t>
      </w:r>
      <w:r>
        <w:rPr>
          <w:rFonts w:ascii="Bookman Old Style"/>
          <w:b w:val="0"/>
          <w:sz w:val="16"/>
          <w:vertAlign w:val="baseline"/>
        </w:rPr>
        <w:t>See</w:t>
      </w:r>
      <w:r>
        <w:rPr>
          <w:rFonts w:ascii="Bookman Old Style"/>
          <w:b w:val="0"/>
          <w:spacing w:val="-13"/>
          <w:sz w:val="16"/>
          <w:vertAlign w:val="baseline"/>
        </w:rPr>
        <w:t> </w:t>
      </w:r>
      <w:r>
        <w:rPr>
          <w:rFonts w:ascii="Bookman Old Style"/>
          <w:b w:val="0"/>
          <w:sz w:val="16"/>
          <w:vertAlign w:val="baseline"/>
        </w:rPr>
        <w:t>Ali</w:t>
      </w:r>
      <w:r>
        <w:rPr>
          <w:rFonts w:ascii="Bookman Old Style"/>
          <w:b w:val="0"/>
          <w:spacing w:val="-12"/>
          <w:sz w:val="16"/>
          <w:vertAlign w:val="baseline"/>
        </w:rPr>
        <w:t> </w:t>
      </w:r>
      <w:r>
        <w:rPr>
          <w:rFonts w:ascii="Bookman Old Style"/>
          <w:b w:val="0"/>
          <w:sz w:val="16"/>
          <w:vertAlign w:val="baseline"/>
        </w:rPr>
        <w:t>and</w:t>
      </w:r>
      <w:r>
        <w:rPr>
          <w:rFonts w:ascii="Bookman Old Style"/>
          <w:b w:val="0"/>
          <w:spacing w:val="-12"/>
          <w:sz w:val="16"/>
          <w:vertAlign w:val="baseline"/>
        </w:rPr>
        <w:t> </w:t>
      </w:r>
      <w:r>
        <w:rPr>
          <w:rFonts w:ascii="Bookman Old Style"/>
          <w:b w:val="0"/>
          <w:sz w:val="16"/>
          <w:vertAlign w:val="baseline"/>
        </w:rPr>
        <w:t>Bhuiyan</w:t>
      </w:r>
      <w:r>
        <w:rPr>
          <w:rFonts w:ascii="Bookman Old Style"/>
          <w:b w:val="0"/>
          <w:spacing w:val="-12"/>
          <w:sz w:val="16"/>
          <w:vertAlign w:val="baseline"/>
        </w:rPr>
        <w:t> </w:t>
      </w:r>
      <w:r>
        <w:rPr>
          <w:rFonts w:ascii="Bookman Old Style"/>
          <w:b w:val="0"/>
          <w:spacing w:val="-4"/>
          <w:sz w:val="16"/>
          <w:vertAlign w:val="baseline"/>
        </w:rPr>
        <w:t>2022</w:t>
      </w:r>
    </w:p>
    <w:p>
      <w:pPr>
        <w:spacing w:after="0"/>
        <w:jc w:val="left"/>
        <w:rPr>
          <w:rFonts w:ascii="Bookman Old Style"/>
          <w:sz w:val="16"/>
        </w:rPr>
        <w:sectPr>
          <w:pgSz w:w="12240" w:h="15840"/>
          <w:pgMar w:header="0" w:footer="1252" w:top="1100" w:bottom="1440" w:left="1300" w:right="1200"/>
        </w:sectPr>
      </w:pPr>
    </w:p>
    <w:p>
      <w:pPr>
        <w:pStyle w:val="Heading1"/>
        <w:numPr>
          <w:ilvl w:val="0"/>
          <w:numId w:val="1"/>
        </w:numPr>
        <w:tabs>
          <w:tab w:pos="601" w:val="left" w:leader="none"/>
          <w:tab w:pos="602" w:val="left" w:leader="none"/>
        </w:tabs>
        <w:spacing w:line="240" w:lineRule="auto" w:before="36" w:after="0"/>
        <w:ind w:left="601" w:right="0" w:hanging="485"/>
        <w:jc w:val="left"/>
      </w:pPr>
      <w:r>
        <w:rPr>
          <w:spacing w:val="-2"/>
        </w:rPr>
        <w:t>Results</w:t>
      </w:r>
    </w:p>
    <w:p>
      <w:pPr>
        <w:pStyle w:val="BodyText"/>
        <w:spacing w:line="316" w:lineRule="auto" w:before="251"/>
        <w:ind w:left="117" w:right="634" w:firstLine="298"/>
        <w:jc w:val="both"/>
      </w:pPr>
      <w:r>
        <w:rPr/>
        <w:t>In</w:t>
      </w:r>
      <w:r>
        <w:rPr>
          <w:spacing w:val="-4"/>
        </w:rPr>
        <w:t> </w:t>
      </w:r>
      <w:r>
        <w:rPr/>
        <w:t>order</w:t>
      </w:r>
      <w:r>
        <w:rPr>
          <w:spacing w:val="-4"/>
        </w:rPr>
        <w:t> </w:t>
      </w:r>
      <w:r>
        <w:rPr/>
        <w:t>to</w:t>
      </w:r>
      <w:r>
        <w:rPr>
          <w:spacing w:val="-4"/>
        </w:rPr>
        <w:t> </w:t>
      </w:r>
      <w:r>
        <w:rPr/>
        <w:t>examine</w:t>
      </w:r>
      <w:r>
        <w:rPr>
          <w:spacing w:val="-4"/>
        </w:rPr>
        <w:t> </w:t>
      </w:r>
      <w:r>
        <w:rPr/>
        <w:t>our</w:t>
      </w:r>
      <w:r>
        <w:rPr>
          <w:spacing w:val="-4"/>
        </w:rPr>
        <w:t> </w:t>
      </w:r>
      <w:r>
        <w:rPr/>
        <w:t>hypotheses</w:t>
      </w:r>
      <w:r>
        <w:rPr>
          <w:spacing w:val="-4"/>
        </w:rPr>
        <w:t> </w:t>
      </w:r>
      <w:r>
        <w:rPr/>
        <w:t>using</w:t>
      </w:r>
      <w:r>
        <w:rPr>
          <w:spacing w:val="-4"/>
        </w:rPr>
        <w:t> </w:t>
      </w:r>
      <w:r>
        <w:rPr/>
        <w:t>this</w:t>
      </w:r>
      <w:r>
        <w:rPr>
          <w:spacing w:val="-4"/>
        </w:rPr>
        <w:t> </w:t>
      </w:r>
      <w:r>
        <w:rPr/>
        <w:t>data,</w:t>
      </w:r>
      <w:r>
        <w:rPr>
          <w:spacing w:val="-4"/>
        </w:rPr>
        <w:t> </w:t>
      </w:r>
      <w:r>
        <w:rPr/>
        <w:t>we</w:t>
      </w:r>
      <w:r>
        <w:rPr>
          <w:spacing w:val="-4"/>
        </w:rPr>
        <w:t> </w:t>
      </w:r>
      <w:r>
        <w:rPr/>
        <w:t>first</w:t>
      </w:r>
      <w:r>
        <w:rPr>
          <w:spacing w:val="-4"/>
        </w:rPr>
        <w:t> </w:t>
      </w:r>
      <w:r>
        <w:rPr/>
        <w:t>subdivided</w:t>
      </w:r>
      <w:r>
        <w:rPr>
          <w:spacing w:val="-4"/>
        </w:rPr>
        <w:t> </w:t>
      </w:r>
      <w:r>
        <w:rPr/>
        <w:t>the</w:t>
      </w:r>
      <w:r>
        <w:rPr>
          <w:spacing w:val="-4"/>
        </w:rPr>
        <w:t> </w:t>
      </w:r>
      <w:r>
        <w:rPr/>
        <w:t>full</w:t>
      </w:r>
      <w:r>
        <w:rPr>
          <w:spacing w:val="-4"/>
        </w:rPr>
        <w:t> </w:t>
      </w:r>
      <w:r>
        <w:rPr/>
        <w:t>set</w:t>
      </w:r>
      <w:r>
        <w:rPr>
          <w:spacing w:val="-4"/>
        </w:rPr>
        <w:t> </w:t>
      </w:r>
      <w:r>
        <w:rPr/>
        <w:t>of</w:t>
      </w:r>
      <w:r>
        <w:rPr>
          <w:spacing w:val="-5"/>
        </w:rPr>
        <w:t> </w:t>
      </w:r>
      <w:r>
        <w:rPr/>
        <w:t>conflict</w:t>
      </w:r>
      <w:r>
        <w:rPr>
          <w:spacing w:val="-4"/>
        </w:rPr>
        <w:t> </w:t>
      </w:r>
      <w:r>
        <w:rPr/>
        <w:t>states into</w:t>
      </w:r>
      <w:r>
        <w:rPr>
          <w:spacing w:val="-10"/>
        </w:rPr>
        <w:t> </w:t>
      </w:r>
      <w:r>
        <w:rPr/>
        <w:t>a</w:t>
      </w:r>
      <w:r>
        <w:rPr>
          <w:spacing w:val="-10"/>
        </w:rPr>
        <w:t> </w:t>
      </w:r>
      <w:r>
        <w:rPr/>
        <w:t>smaller</w:t>
      </w:r>
      <w:r>
        <w:rPr>
          <w:spacing w:val="-10"/>
        </w:rPr>
        <w:t> </w:t>
      </w:r>
      <w:r>
        <w:rPr/>
        <w:t>subset</w:t>
      </w:r>
      <w:r>
        <w:rPr>
          <w:spacing w:val="-10"/>
        </w:rPr>
        <w:t> </w:t>
      </w:r>
      <w:r>
        <w:rPr/>
        <w:t>of</w:t>
      </w:r>
      <w:r>
        <w:rPr>
          <w:spacing w:val="-10"/>
        </w:rPr>
        <w:t> </w:t>
      </w:r>
      <w:r>
        <w:rPr/>
        <w:t>“oil</w:t>
      </w:r>
      <w:r>
        <w:rPr>
          <w:spacing w:val="-10"/>
        </w:rPr>
        <w:t> </w:t>
      </w:r>
      <w:r>
        <w:rPr/>
        <w:t>states”.</w:t>
      </w:r>
      <w:r>
        <w:rPr>
          <w:spacing w:val="12"/>
        </w:rPr>
        <w:t> </w:t>
      </w:r>
      <w:r>
        <w:rPr/>
        <w:t>States</w:t>
      </w:r>
      <w:r>
        <w:rPr>
          <w:spacing w:val="-10"/>
        </w:rPr>
        <w:t> </w:t>
      </w:r>
      <w:r>
        <w:rPr/>
        <w:t>that</w:t>
      </w:r>
      <w:r>
        <w:rPr>
          <w:spacing w:val="-10"/>
        </w:rPr>
        <w:t> </w:t>
      </w:r>
      <w:r>
        <w:rPr/>
        <w:t>saw</w:t>
      </w:r>
      <w:r>
        <w:rPr>
          <w:spacing w:val="-10"/>
        </w:rPr>
        <w:t> </w:t>
      </w:r>
      <w:r>
        <w:rPr/>
        <w:t>the</w:t>
      </w:r>
      <w:r>
        <w:rPr>
          <w:spacing w:val="-10"/>
        </w:rPr>
        <w:t> </w:t>
      </w:r>
      <w:r>
        <w:rPr/>
        <w:t>sale</w:t>
      </w:r>
      <w:r>
        <w:rPr>
          <w:spacing w:val="-10"/>
        </w:rPr>
        <w:t> </w:t>
      </w:r>
      <w:r>
        <w:rPr/>
        <w:t>of</w:t>
      </w:r>
      <w:r>
        <w:rPr>
          <w:spacing w:val="-10"/>
        </w:rPr>
        <w:t> </w:t>
      </w:r>
      <w:r>
        <w:rPr/>
        <w:t>oil</w:t>
      </w:r>
      <w:r>
        <w:rPr>
          <w:spacing w:val="-10"/>
        </w:rPr>
        <w:t> </w:t>
      </w:r>
      <w:r>
        <w:rPr/>
        <w:t>comprise</w:t>
      </w:r>
      <w:r>
        <w:rPr>
          <w:spacing w:val="-10"/>
        </w:rPr>
        <w:t> </w:t>
      </w:r>
      <w:r>
        <w:rPr/>
        <w:t>a</w:t>
      </w:r>
      <w:r>
        <w:rPr>
          <w:spacing w:val="-10"/>
        </w:rPr>
        <w:t> </w:t>
      </w:r>
      <w:r>
        <w:rPr/>
        <w:t>mean</w:t>
      </w:r>
      <w:r>
        <w:rPr>
          <w:spacing w:val="-10"/>
        </w:rPr>
        <w:t> </w:t>
      </w:r>
      <w:r>
        <w:rPr/>
        <w:t>value</w:t>
      </w:r>
      <w:r>
        <w:rPr>
          <w:spacing w:val="-10"/>
        </w:rPr>
        <w:t> </w:t>
      </w:r>
      <w:r>
        <w:rPr/>
        <w:t>of</w:t>
      </w:r>
      <w:r>
        <w:rPr>
          <w:spacing w:val="-10"/>
        </w:rPr>
        <w:t> </w:t>
      </w:r>
      <w:r>
        <w:rPr/>
        <w:t>10%</w:t>
      </w:r>
      <w:r>
        <w:rPr>
          <w:spacing w:val="-10"/>
        </w:rPr>
        <w:t> </w:t>
      </w:r>
      <w:r>
        <w:rPr/>
        <w:t>or</w:t>
      </w:r>
      <w:r>
        <w:rPr>
          <w:spacing w:val="-10"/>
        </w:rPr>
        <w:t> </w:t>
      </w:r>
      <w:r>
        <w:rPr/>
        <w:t>more of GDP over the observation period were designated as an “oil states”. These oil states should be most sensitive to the impact of oil price fluctuations on state capacity.</w:t>
      </w:r>
      <w:r>
        <w:rPr>
          <w:spacing w:val="30"/>
        </w:rPr>
        <w:t> </w:t>
      </w:r>
      <w:r>
        <w:rPr/>
        <w:t>We also designated a smaller subset of “extreme oil states”, states in which the sale of oil was over 20% of GDP. Among the sample, there were 8 “oil states” and 5 “extreme oil states”, comprising about 197 and 104 total cases respectively.</w:t>
      </w:r>
    </w:p>
    <w:p>
      <w:pPr>
        <w:pStyle w:val="BodyText"/>
        <w:spacing w:line="316" w:lineRule="auto" w:before="136"/>
        <w:ind w:left="117" w:right="632" w:firstLine="298"/>
        <w:jc w:val="both"/>
      </w:pPr>
      <w:r>
        <w:rPr/>
        <w:t>The</w:t>
      </w:r>
      <w:r>
        <w:rPr>
          <w:spacing w:val="-8"/>
        </w:rPr>
        <w:t> </w:t>
      </w:r>
      <w:r>
        <w:rPr/>
        <w:t>first</w:t>
      </w:r>
      <w:r>
        <w:rPr>
          <w:spacing w:val="-7"/>
        </w:rPr>
        <w:t> </w:t>
      </w:r>
      <w:r>
        <w:rPr/>
        <w:t>set</w:t>
      </w:r>
      <w:r>
        <w:rPr>
          <w:spacing w:val="-8"/>
        </w:rPr>
        <w:t> </w:t>
      </w:r>
      <w:r>
        <w:rPr/>
        <w:t>of</w:t>
      </w:r>
      <w:r>
        <w:rPr>
          <w:spacing w:val="-8"/>
        </w:rPr>
        <w:t> </w:t>
      </w:r>
      <w:r>
        <w:rPr/>
        <w:t>models</w:t>
      </w:r>
      <w:r>
        <w:rPr>
          <w:spacing w:val="-8"/>
        </w:rPr>
        <w:t> </w:t>
      </w:r>
      <w:r>
        <w:rPr/>
        <w:t>were</w:t>
      </w:r>
      <w:r>
        <w:rPr>
          <w:spacing w:val="-7"/>
        </w:rPr>
        <w:t> </w:t>
      </w:r>
      <w:r>
        <w:rPr/>
        <w:t>designed</w:t>
      </w:r>
      <w:r>
        <w:rPr>
          <w:spacing w:val="-8"/>
        </w:rPr>
        <w:t> </w:t>
      </w:r>
      <w:r>
        <w:rPr/>
        <w:t>to</w:t>
      </w:r>
      <w:r>
        <w:rPr>
          <w:spacing w:val="-7"/>
        </w:rPr>
        <w:t> </w:t>
      </w:r>
      <w:r>
        <w:rPr/>
        <w:t>test</w:t>
      </w:r>
      <w:r>
        <w:rPr>
          <w:spacing w:val="-8"/>
        </w:rPr>
        <w:t> </w:t>
      </w:r>
      <w:r>
        <w:rPr/>
        <w:t>the</w:t>
      </w:r>
      <w:r>
        <w:rPr>
          <w:spacing w:val="-7"/>
        </w:rPr>
        <w:t> </w:t>
      </w:r>
      <w:r>
        <w:rPr/>
        <w:t>impact</w:t>
      </w:r>
      <w:r>
        <w:rPr>
          <w:spacing w:val="-8"/>
        </w:rPr>
        <w:t> </w:t>
      </w:r>
      <w:r>
        <w:rPr/>
        <w:t>of</w:t>
      </w:r>
      <w:r>
        <w:rPr>
          <w:spacing w:val="-8"/>
        </w:rPr>
        <w:t> </w:t>
      </w:r>
      <w:r>
        <w:rPr/>
        <w:t>oil</w:t>
      </w:r>
      <w:r>
        <w:rPr>
          <w:spacing w:val="-8"/>
        </w:rPr>
        <w:t> </w:t>
      </w:r>
      <w:r>
        <w:rPr/>
        <w:t>price</w:t>
      </w:r>
      <w:r>
        <w:rPr>
          <w:spacing w:val="-8"/>
        </w:rPr>
        <w:t> </w:t>
      </w:r>
      <w:r>
        <w:rPr/>
        <w:t>changes</w:t>
      </w:r>
      <w:r>
        <w:rPr>
          <w:spacing w:val="-8"/>
        </w:rPr>
        <w:t> </w:t>
      </w:r>
      <w:r>
        <w:rPr/>
        <w:t>on</w:t>
      </w:r>
      <w:r>
        <w:rPr>
          <w:spacing w:val="-8"/>
        </w:rPr>
        <w:t> </w:t>
      </w:r>
      <w:r>
        <w:rPr/>
        <w:t>battle</w:t>
      </w:r>
      <w:r>
        <w:rPr>
          <w:spacing w:val="-7"/>
        </w:rPr>
        <w:t> </w:t>
      </w:r>
      <w:r>
        <w:rPr/>
        <w:t>deaths</w:t>
      </w:r>
      <w:r>
        <w:rPr>
          <w:spacing w:val="-8"/>
        </w:rPr>
        <w:t> </w:t>
      </w:r>
      <w:r>
        <w:rPr/>
        <w:t>in</w:t>
      </w:r>
      <w:r>
        <w:rPr>
          <w:spacing w:val="-7"/>
        </w:rPr>
        <w:t> </w:t>
      </w:r>
      <w:r>
        <w:rPr/>
        <w:t>these oil reliant states.</w:t>
      </w:r>
      <w:r>
        <w:rPr>
          <w:spacing w:val="37"/>
        </w:rPr>
        <w:t> </w:t>
      </w:r>
      <w:r>
        <w:rPr/>
        <w:t>We employed four measures for oil prices.</w:t>
      </w:r>
      <w:r>
        <w:rPr>
          <w:spacing w:val="37"/>
        </w:rPr>
        <w:t> </w:t>
      </w:r>
      <w:r>
        <w:rPr/>
        <w:t>The first measure was a simple measure of the mean price for WTI in the current year.</w:t>
      </w:r>
      <w:r>
        <w:rPr>
          <w:spacing w:val="31"/>
        </w:rPr>
        <w:t> </w:t>
      </w:r>
      <w:r>
        <w:rPr/>
        <w:t>The second measure was a measure of the prior year’s mean</w:t>
      </w:r>
      <w:r>
        <w:rPr>
          <w:spacing w:val="-13"/>
        </w:rPr>
        <w:t> </w:t>
      </w:r>
      <w:r>
        <w:rPr/>
        <w:t>price.</w:t>
      </w:r>
      <w:r>
        <w:rPr>
          <w:spacing w:val="-12"/>
        </w:rPr>
        <w:t> </w:t>
      </w:r>
      <w:r>
        <w:rPr/>
        <w:t>The</w:t>
      </w:r>
      <w:r>
        <w:rPr>
          <w:spacing w:val="-12"/>
        </w:rPr>
        <w:t> </w:t>
      </w:r>
      <w:r>
        <w:rPr/>
        <w:t>reason</w:t>
      </w:r>
      <w:r>
        <w:rPr>
          <w:spacing w:val="-12"/>
        </w:rPr>
        <w:t> </w:t>
      </w:r>
      <w:r>
        <w:rPr/>
        <w:t>for</w:t>
      </w:r>
      <w:r>
        <w:rPr>
          <w:spacing w:val="-12"/>
        </w:rPr>
        <w:t> </w:t>
      </w:r>
      <w:r>
        <w:rPr/>
        <w:t>testing</w:t>
      </w:r>
      <w:r>
        <w:rPr>
          <w:spacing w:val="-12"/>
        </w:rPr>
        <w:t> </w:t>
      </w:r>
      <w:r>
        <w:rPr/>
        <w:t>a</w:t>
      </w:r>
      <w:r>
        <w:rPr>
          <w:spacing w:val="-12"/>
        </w:rPr>
        <w:t> </w:t>
      </w:r>
      <w:r>
        <w:rPr/>
        <w:t>lagged</w:t>
      </w:r>
      <w:r>
        <w:rPr>
          <w:spacing w:val="-12"/>
        </w:rPr>
        <w:t> </w:t>
      </w:r>
      <w:r>
        <w:rPr/>
        <w:t>variable</w:t>
      </w:r>
      <w:r>
        <w:rPr>
          <w:spacing w:val="-12"/>
        </w:rPr>
        <w:t> </w:t>
      </w:r>
      <w:r>
        <w:rPr/>
        <w:t>here</w:t>
      </w:r>
      <w:r>
        <w:rPr>
          <w:spacing w:val="-12"/>
        </w:rPr>
        <w:t> </w:t>
      </w:r>
      <w:r>
        <w:rPr/>
        <w:t>was</w:t>
      </w:r>
      <w:r>
        <w:rPr>
          <w:spacing w:val="-12"/>
        </w:rPr>
        <w:t> </w:t>
      </w:r>
      <w:r>
        <w:rPr/>
        <w:t>because</w:t>
      </w:r>
      <w:r>
        <w:rPr>
          <w:spacing w:val="-12"/>
        </w:rPr>
        <w:t> </w:t>
      </w:r>
      <w:r>
        <w:rPr/>
        <w:t>increases</w:t>
      </w:r>
      <w:r>
        <w:rPr>
          <w:spacing w:val="-12"/>
        </w:rPr>
        <w:t> </w:t>
      </w:r>
      <w:r>
        <w:rPr/>
        <w:t>or</w:t>
      </w:r>
      <w:r>
        <w:rPr>
          <w:spacing w:val="-12"/>
        </w:rPr>
        <w:t> </w:t>
      </w:r>
      <w:r>
        <w:rPr/>
        <w:t>decreases</w:t>
      </w:r>
      <w:r>
        <w:rPr>
          <w:spacing w:val="-12"/>
        </w:rPr>
        <w:t> </w:t>
      </w:r>
      <w:r>
        <w:rPr/>
        <w:t>in</w:t>
      </w:r>
      <w:r>
        <w:rPr>
          <w:spacing w:val="-12"/>
        </w:rPr>
        <w:t> </w:t>
      </w:r>
      <w:r>
        <w:rPr/>
        <w:t>the</w:t>
      </w:r>
      <w:r>
        <w:rPr>
          <w:spacing w:val="-13"/>
        </w:rPr>
        <w:t> </w:t>
      </w:r>
      <w:r>
        <w:rPr/>
        <w:t>price of oil may not impact state revenues until a later period in states where budgets are set the year prior. The</w:t>
      </w:r>
      <w:r>
        <w:rPr>
          <w:spacing w:val="-2"/>
        </w:rPr>
        <w:t> </w:t>
      </w:r>
      <w:r>
        <w:rPr/>
        <w:t>second</w:t>
      </w:r>
      <w:r>
        <w:rPr>
          <w:spacing w:val="-2"/>
        </w:rPr>
        <w:t> </w:t>
      </w:r>
      <w:r>
        <w:rPr/>
        <w:t>two</w:t>
      </w:r>
      <w:r>
        <w:rPr>
          <w:spacing w:val="-2"/>
        </w:rPr>
        <w:t> </w:t>
      </w:r>
      <w:r>
        <w:rPr/>
        <w:t>measures</w:t>
      </w:r>
      <w:r>
        <w:rPr>
          <w:spacing w:val="-2"/>
        </w:rPr>
        <w:t> </w:t>
      </w:r>
      <w:r>
        <w:rPr/>
        <w:t>measure</w:t>
      </w:r>
      <w:r>
        <w:rPr>
          <w:spacing w:val="-2"/>
        </w:rPr>
        <w:t> </w:t>
      </w:r>
      <w:r>
        <w:rPr/>
        <w:t>the</w:t>
      </w:r>
      <w:r>
        <w:rPr>
          <w:spacing w:val="-2"/>
        </w:rPr>
        <w:t> </w:t>
      </w:r>
      <w:r>
        <w:rPr/>
        <w:t>change</w:t>
      </w:r>
      <w:r>
        <w:rPr>
          <w:spacing w:val="-2"/>
        </w:rPr>
        <w:t> </w:t>
      </w:r>
      <w:r>
        <w:rPr/>
        <w:t>in</w:t>
      </w:r>
      <w:r>
        <w:rPr>
          <w:spacing w:val="-2"/>
        </w:rPr>
        <w:t> </w:t>
      </w:r>
      <w:r>
        <w:rPr/>
        <w:t>WTI</w:t>
      </w:r>
      <w:r>
        <w:rPr>
          <w:spacing w:val="-2"/>
        </w:rPr>
        <w:t> </w:t>
      </w:r>
      <w:r>
        <w:rPr/>
        <w:t>prices</w:t>
      </w:r>
      <w:r>
        <w:rPr>
          <w:spacing w:val="-2"/>
        </w:rPr>
        <w:t> </w:t>
      </w:r>
      <w:r>
        <w:rPr/>
        <w:t>in</w:t>
      </w:r>
      <w:r>
        <w:rPr>
          <w:spacing w:val="-2"/>
        </w:rPr>
        <w:t> </w:t>
      </w:r>
      <w:r>
        <w:rPr/>
        <w:t>percentage</w:t>
      </w:r>
      <w:r>
        <w:rPr>
          <w:spacing w:val="-2"/>
        </w:rPr>
        <w:t> </w:t>
      </w:r>
      <w:r>
        <w:rPr/>
        <w:t>terms</w:t>
      </w:r>
      <w:r>
        <w:rPr>
          <w:spacing w:val="-2"/>
        </w:rPr>
        <w:t> </w:t>
      </w:r>
      <w:r>
        <w:rPr/>
        <w:t>from</w:t>
      </w:r>
      <w:r>
        <w:rPr>
          <w:spacing w:val="-2"/>
        </w:rPr>
        <w:t> </w:t>
      </w:r>
      <w:r>
        <w:rPr/>
        <w:t>the</w:t>
      </w:r>
      <w:r>
        <w:rPr>
          <w:spacing w:val="-2"/>
        </w:rPr>
        <w:t> </w:t>
      </w:r>
      <w:r>
        <w:rPr/>
        <w:t>prior</w:t>
      </w:r>
      <w:r>
        <w:rPr>
          <w:spacing w:val="-2"/>
        </w:rPr>
        <w:t> </w:t>
      </w:r>
      <w:r>
        <w:rPr/>
        <w:t>year’s mean.</w:t>
      </w:r>
      <w:r>
        <w:rPr>
          <w:spacing w:val="40"/>
        </w:rPr>
        <w:t> </w:t>
      </w:r>
      <w:r>
        <w:rPr/>
        <w:t>We include a measure of the change relative to the prior period mean (i.e.</w:t>
      </w:r>
      <w:r>
        <w:rPr>
          <w:spacing w:val="40"/>
        </w:rPr>
        <w:t> </w:t>
      </w:r>
      <w:r>
        <w:rPr/>
        <w:t>the change for the current</w:t>
      </w:r>
      <w:r>
        <w:rPr>
          <w:spacing w:val="-6"/>
        </w:rPr>
        <w:t> </w:t>
      </w:r>
      <w:r>
        <w:rPr/>
        <w:t>year),</w:t>
      </w:r>
      <w:r>
        <w:rPr>
          <w:spacing w:val="-5"/>
        </w:rPr>
        <w:t> </w:t>
      </w:r>
      <w:r>
        <w:rPr/>
        <w:t>and</w:t>
      </w:r>
      <w:r>
        <w:rPr>
          <w:spacing w:val="-6"/>
        </w:rPr>
        <w:t> </w:t>
      </w:r>
      <w:r>
        <w:rPr/>
        <w:t>a</w:t>
      </w:r>
      <w:r>
        <w:rPr>
          <w:spacing w:val="-6"/>
        </w:rPr>
        <w:t> </w:t>
      </w:r>
      <w:r>
        <w:rPr/>
        <w:t>measure</w:t>
      </w:r>
      <w:r>
        <w:rPr>
          <w:spacing w:val="-6"/>
        </w:rPr>
        <w:t> </w:t>
      </w:r>
      <w:r>
        <w:rPr/>
        <w:t>of</w:t>
      </w:r>
      <w:r>
        <w:rPr>
          <w:spacing w:val="-6"/>
        </w:rPr>
        <w:t> </w:t>
      </w:r>
      <w:r>
        <w:rPr/>
        <w:t>the</w:t>
      </w:r>
      <w:r>
        <w:rPr>
          <w:spacing w:val="-6"/>
        </w:rPr>
        <w:t> </w:t>
      </w:r>
      <w:r>
        <w:rPr/>
        <w:t>change</w:t>
      </w:r>
      <w:r>
        <w:rPr>
          <w:spacing w:val="-6"/>
        </w:rPr>
        <w:t> </w:t>
      </w:r>
      <w:r>
        <w:rPr/>
        <w:t>between</w:t>
      </w:r>
      <w:r>
        <w:rPr>
          <w:spacing w:val="-6"/>
        </w:rPr>
        <w:t> </w:t>
      </w:r>
      <w:r>
        <w:rPr/>
        <w:t>the</w:t>
      </w:r>
      <w:r>
        <w:rPr>
          <w:spacing w:val="-6"/>
        </w:rPr>
        <w:t> </w:t>
      </w:r>
      <w:r>
        <w:rPr/>
        <w:t>prior</w:t>
      </w:r>
      <w:r>
        <w:rPr>
          <w:spacing w:val="-6"/>
        </w:rPr>
        <w:t> </w:t>
      </w:r>
      <w:r>
        <w:rPr/>
        <w:t>period</w:t>
      </w:r>
      <w:r>
        <w:rPr>
          <w:spacing w:val="-6"/>
        </w:rPr>
        <w:t> </w:t>
      </w:r>
      <w:r>
        <w:rPr/>
        <w:t>and</w:t>
      </w:r>
      <w:r>
        <w:rPr>
          <w:spacing w:val="-6"/>
        </w:rPr>
        <w:t> </w:t>
      </w:r>
      <w:r>
        <w:rPr/>
        <w:t>the</w:t>
      </w:r>
      <w:r>
        <w:rPr>
          <w:spacing w:val="-6"/>
        </w:rPr>
        <w:t> </w:t>
      </w:r>
      <w:r>
        <w:rPr/>
        <w:t>period</w:t>
      </w:r>
      <w:r>
        <w:rPr>
          <w:spacing w:val="-6"/>
        </w:rPr>
        <w:t> </w:t>
      </w:r>
      <w:r>
        <w:rPr/>
        <w:t>preceding</w:t>
      </w:r>
      <w:r>
        <w:rPr>
          <w:spacing w:val="-6"/>
        </w:rPr>
        <w:t> </w:t>
      </w:r>
      <w:r>
        <w:rPr/>
        <w:t>that</w:t>
      </w:r>
      <w:r>
        <w:rPr>
          <w:spacing w:val="-6"/>
        </w:rPr>
        <w:t> </w:t>
      </w:r>
      <w:r>
        <w:rPr/>
        <w:t>(i.e. the</w:t>
      </w:r>
      <w:r>
        <w:rPr>
          <w:spacing w:val="-11"/>
        </w:rPr>
        <w:t> </w:t>
      </w:r>
      <w:r>
        <w:rPr/>
        <w:t>change</w:t>
      </w:r>
      <w:r>
        <w:rPr>
          <w:spacing w:val="-11"/>
        </w:rPr>
        <w:t> </w:t>
      </w:r>
      <w:r>
        <w:rPr/>
        <w:t>for</w:t>
      </w:r>
      <w:r>
        <w:rPr>
          <w:spacing w:val="-11"/>
        </w:rPr>
        <w:t> </w:t>
      </w:r>
      <w:r>
        <w:rPr/>
        <w:t>the</w:t>
      </w:r>
      <w:r>
        <w:rPr>
          <w:spacing w:val="-11"/>
        </w:rPr>
        <w:t> </w:t>
      </w:r>
      <w:r>
        <w:rPr/>
        <w:t>prior</w:t>
      </w:r>
      <w:r>
        <w:rPr>
          <w:spacing w:val="-11"/>
        </w:rPr>
        <w:t> </w:t>
      </w:r>
      <w:r>
        <w:rPr/>
        <w:t>year).</w:t>
      </w:r>
      <w:r>
        <w:rPr>
          <w:spacing w:val="8"/>
        </w:rPr>
        <w:t> </w:t>
      </w:r>
      <w:r>
        <w:rPr/>
        <w:t>These</w:t>
      </w:r>
      <w:r>
        <w:rPr>
          <w:spacing w:val="-11"/>
        </w:rPr>
        <w:t> </w:t>
      </w:r>
      <w:r>
        <w:rPr/>
        <w:t>measures</w:t>
      </w:r>
      <w:r>
        <w:rPr>
          <w:spacing w:val="-11"/>
        </w:rPr>
        <w:t> </w:t>
      </w:r>
      <w:r>
        <w:rPr/>
        <w:t>provide</w:t>
      </w:r>
      <w:r>
        <w:rPr>
          <w:spacing w:val="-11"/>
        </w:rPr>
        <w:t> </w:t>
      </w:r>
      <w:r>
        <w:rPr/>
        <w:t>a</w:t>
      </w:r>
      <w:r>
        <w:rPr>
          <w:spacing w:val="-11"/>
        </w:rPr>
        <w:t> </w:t>
      </w:r>
      <w:r>
        <w:rPr/>
        <w:t>variety</w:t>
      </w:r>
      <w:r>
        <w:rPr>
          <w:spacing w:val="-10"/>
        </w:rPr>
        <w:t> </w:t>
      </w:r>
      <w:r>
        <w:rPr/>
        <w:t>of</w:t>
      </w:r>
      <w:r>
        <w:rPr>
          <w:spacing w:val="-11"/>
        </w:rPr>
        <w:t> </w:t>
      </w:r>
      <w:r>
        <w:rPr/>
        <w:t>ways</w:t>
      </w:r>
      <w:r>
        <w:rPr>
          <w:spacing w:val="-10"/>
        </w:rPr>
        <w:t> </w:t>
      </w:r>
      <w:r>
        <w:rPr/>
        <w:t>to</w:t>
      </w:r>
      <w:r>
        <w:rPr>
          <w:spacing w:val="-11"/>
        </w:rPr>
        <w:t> </w:t>
      </w:r>
      <w:r>
        <w:rPr/>
        <w:t>measure</w:t>
      </w:r>
      <w:r>
        <w:rPr>
          <w:spacing w:val="-11"/>
        </w:rPr>
        <w:t> </w:t>
      </w:r>
      <w:r>
        <w:rPr/>
        <w:t>the</w:t>
      </w:r>
      <w:r>
        <w:rPr>
          <w:spacing w:val="-10"/>
        </w:rPr>
        <w:t> </w:t>
      </w:r>
      <w:r>
        <w:rPr/>
        <w:t>degree</w:t>
      </w:r>
      <w:r>
        <w:rPr>
          <w:spacing w:val="-11"/>
        </w:rPr>
        <w:t> </w:t>
      </w:r>
      <w:r>
        <w:rPr/>
        <w:t>to</w:t>
      </w:r>
      <w:r>
        <w:rPr>
          <w:spacing w:val="-11"/>
        </w:rPr>
        <w:t> </w:t>
      </w:r>
      <w:r>
        <w:rPr/>
        <w:t>which oil prices changes may impact conflict-reducing state capacity.</w:t>
      </w:r>
    </w:p>
    <w:p>
      <w:pPr>
        <w:pStyle w:val="BodyText"/>
        <w:spacing w:line="307" w:lineRule="auto" w:before="131"/>
        <w:ind w:left="117" w:right="634" w:firstLine="298"/>
        <w:jc w:val="both"/>
      </w:pPr>
      <w:r>
        <w:rPr/>
        <w:t>Our standard specification approach for the first set of models was to use ordinary-least-squares (OLS)</w:t>
      </w:r>
      <w:r>
        <w:rPr>
          <w:spacing w:val="-11"/>
        </w:rPr>
        <w:t> </w:t>
      </w:r>
      <w:r>
        <w:rPr/>
        <w:t>regression</w:t>
      </w:r>
      <w:r>
        <w:rPr>
          <w:spacing w:val="-11"/>
        </w:rPr>
        <w:t> </w:t>
      </w:r>
      <w:r>
        <w:rPr/>
        <w:t>models</w:t>
      </w:r>
      <w:r>
        <w:rPr>
          <w:spacing w:val="-11"/>
        </w:rPr>
        <w:t> </w:t>
      </w:r>
      <w:r>
        <w:rPr/>
        <w:t>with</w:t>
      </w:r>
      <w:r>
        <w:rPr>
          <w:spacing w:val="-11"/>
        </w:rPr>
        <w:t> </w:t>
      </w:r>
      <w:r>
        <w:rPr/>
        <w:t>fixed</w:t>
      </w:r>
      <w:r>
        <w:rPr>
          <w:spacing w:val="-11"/>
        </w:rPr>
        <w:t> </w:t>
      </w:r>
      <w:r>
        <w:rPr/>
        <w:t>effects</w:t>
      </w:r>
      <w:r>
        <w:rPr>
          <w:spacing w:val="-11"/>
        </w:rPr>
        <w:t> </w:t>
      </w:r>
      <w:r>
        <w:rPr/>
        <w:t>for</w:t>
      </w:r>
      <w:r>
        <w:rPr>
          <w:spacing w:val="-11"/>
        </w:rPr>
        <w:t> </w:t>
      </w:r>
      <w:r>
        <w:rPr/>
        <w:t>state</w:t>
      </w:r>
      <w:r>
        <w:rPr>
          <w:spacing w:val="-11"/>
        </w:rPr>
        <w:t> </w:t>
      </w:r>
      <w:r>
        <w:rPr/>
        <w:t>errors.</w:t>
      </w:r>
      <w:r>
        <w:rPr>
          <w:spacing w:val="5"/>
        </w:rPr>
        <w:t> </w:t>
      </w:r>
      <w:r>
        <w:rPr/>
        <w:t>State</w:t>
      </w:r>
      <w:r>
        <w:rPr>
          <w:spacing w:val="-11"/>
        </w:rPr>
        <w:t> </w:t>
      </w:r>
      <w:r>
        <w:rPr/>
        <w:t>fixed</w:t>
      </w:r>
      <w:r>
        <w:rPr>
          <w:spacing w:val="-11"/>
        </w:rPr>
        <w:t> </w:t>
      </w:r>
      <w:r>
        <w:rPr/>
        <w:t>effects</w:t>
      </w:r>
      <w:r>
        <w:rPr>
          <w:spacing w:val="-11"/>
        </w:rPr>
        <w:t> </w:t>
      </w:r>
      <w:r>
        <w:rPr/>
        <w:t>are</w:t>
      </w:r>
      <w:r>
        <w:rPr>
          <w:spacing w:val="-11"/>
        </w:rPr>
        <w:t> </w:t>
      </w:r>
      <w:r>
        <w:rPr/>
        <w:t>particularly</w:t>
      </w:r>
      <w:r>
        <w:rPr>
          <w:spacing w:val="-11"/>
        </w:rPr>
        <w:t> </w:t>
      </w:r>
      <w:r>
        <w:rPr/>
        <w:t>important </w:t>
      </w:r>
      <w:r>
        <w:rPr>
          <w:spacing w:val="-2"/>
        </w:rPr>
        <w:t>as</w:t>
      </w:r>
      <w:r>
        <w:rPr>
          <w:spacing w:val="-7"/>
        </w:rPr>
        <w:t> </w:t>
      </w:r>
      <w:r>
        <w:rPr>
          <w:spacing w:val="-2"/>
        </w:rPr>
        <w:t>states</w:t>
      </w:r>
      <w:r>
        <w:rPr>
          <w:spacing w:val="-7"/>
        </w:rPr>
        <w:t> </w:t>
      </w:r>
      <w:r>
        <w:rPr>
          <w:spacing w:val="-2"/>
        </w:rPr>
        <w:t>have</w:t>
      </w:r>
      <w:r>
        <w:rPr>
          <w:spacing w:val="-7"/>
        </w:rPr>
        <w:t> </w:t>
      </w:r>
      <w:r>
        <w:rPr>
          <w:spacing w:val="-2"/>
        </w:rPr>
        <w:t>wide</w:t>
      </w:r>
      <w:r>
        <w:rPr>
          <w:spacing w:val="-7"/>
        </w:rPr>
        <w:t> </w:t>
      </w:r>
      <w:r>
        <w:rPr>
          <w:spacing w:val="-2"/>
        </w:rPr>
        <w:t>endogenous</w:t>
      </w:r>
      <w:r>
        <w:rPr>
          <w:spacing w:val="-7"/>
        </w:rPr>
        <w:t> </w:t>
      </w:r>
      <w:r>
        <w:rPr>
          <w:spacing w:val="-2"/>
        </w:rPr>
        <w:t>variation</w:t>
      </w:r>
      <w:r>
        <w:rPr>
          <w:spacing w:val="-7"/>
        </w:rPr>
        <w:t> </w:t>
      </w:r>
      <w:r>
        <w:rPr>
          <w:spacing w:val="-2"/>
        </w:rPr>
        <w:t>in</w:t>
      </w:r>
      <w:r>
        <w:rPr>
          <w:spacing w:val="-7"/>
        </w:rPr>
        <w:t> </w:t>
      </w:r>
      <w:r>
        <w:rPr>
          <w:spacing w:val="-2"/>
        </w:rPr>
        <w:t>the</w:t>
      </w:r>
      <w:r>
        <w:rPr>
          <w:spacing w:val="-7"/>
        </w:rPr>
        <w:t> </w:t>
      </w:r>
      <w:r>
        <w:rPr>
          <w:spacing w:val="-2"/>
        </w:rPr>
        <w:t>number</w:t>
      </w:r>
      <w:r>
        <w:rPr>
          <w:spacing w:val="-7"/>
        </w:rPr>
        <w:t> </w:t>
      </w:r>
      <w:r>
        <w:rPr>
          <w:spacing w:val="-2"/>
        </w:rPr>
        <w:t>of</w:t>
      </w:r>
      <w:r>
        <w:rPr>
          <w:spacing w:val="-7"/>
        </w:rPr>
        <w:t> </w:t>
      </w:r>
      <w:r>
        <w:rPr>
          <w:spacing w:val="-2"/>
        </w:rPr>
        <w:t>battle</w:t>
      </w:r>
      <w:r>
        <w:rPr>
          <w:spacing w:val="-7"/>
        </w:rPr>
        <w:t> </w:t>
      </w:r>
      <w:r>
        <w:rPr>
          <w:spacing w:val="-2"/>
        </w:rPr>
        <w:t>deaths.</w:t>
      </w:r>
      <w:r>
        <w:rPr>
          <w:rFonts w:ascii="Century Gothic"/>
          <w:spacing w:val="-2"/>
          <w:vertAlign w:val="superscript"/>
        </w:rPr>
        <w:t>55</w:t>
      </w:r>
      <w:r>
        <w:rPr>
          <w:rFonts w:ascii="Century Gothic"/>
          <w:spacing w:val="21"/>
          <w:vertAlign w:val="baseline"/>
        </w:rPr>
        <w:t> </w:t>
      </w:r>
      <w:r>
        <w:rPr>
          <w:spacing w:val="-2"/>
          <w:vertAlign w:val="baseline"/>
        </w:rPr>
        <w:t>In</w:t>
      </w:r>
      <w:r>
        <w:rPr>
          <w:spacing w:val="-7"/>
          <w:vertAlign w:val="baseline"/>
        </w:rPr>
        <w:t> </w:t>
      </w:r>
      <w:r>
        <w:rPr>
          <w:spacing w:val="-2"/>
          <w:vertAlign w:val="baseline"/>
        </w:rPr>
        <w:t>this</w:t>
      </w:r>
      <w:r>
        <w:rPr>
          <w:spacing w:val="-7"/>
          <w:vertAlign w:val="baseline"/>
        </w:rPr>
        <w:t> </w:t>
      </w:r>
      <w:r>
        <w:rPr>
          <w:spacing w:val="-2"/>
          <w:vertAlign w:val="baseline"/>
        </w:rPr>
        <w:t>first</w:t>
      </w:r>
      <w:r>
        <w:rPr>
          <w:spacing w:val="-7"/>
          <w:vertAlign w:val="baseline"/>
        </w:rPr>
        <w:t> </w:t>
      </w:r>
      <w:r>
        <w:rPr>
          <w:spacing w:val="-2"/>
          <w:vertAlign w:val="baseline"/>
        </w:rPr>
        <w:t>test</w:t>
      </w:r>
      <w:r>
        <w:rPr>
          <w:spacing w:val="-7"/>
          <w:vertAlign w:val="baseline"/>
        </w:rPr>
        <w:t> </w:t>
      </w:r>
      <w:r>
        <w:rPr>
          <w:spacing w:val="-2"/>
          <w:vertAlign w:val="baseline"/>
        </w:rPr>
        <w:t>of</w:t>
      </w:r>
      <w:r>
        <w:rPr>
          <w:spacing w:val="-7"/>
          <w:vertAlign w:val="baseline"/>
        </w:rPr>
        <w:t> </w:t>
      </w:r>
      <w:r>
        <w:rPr>
          <w:spacing w:val="-2"/>
          <w:vertAlign w:val="baseline"/>
        </w:rPr>
        <w:t>Hypothesis </w:t>
      </w:r>
      <w:r>
        <w:rPr>
          <w:vertAlign w:val="baseline"/>
        </w:rPr>
        <w:t>1, we specify the following four basic models of yearly conflict battle deaths:</w:t>
      </w:r>
    </w:p>
    <w:p>
      <w:pPr>
        <w:spacing w:before="133"/>
        <w:ind w:left="416" w:right="0" w:firstLine="0"/>
        <w:jc w:val="left"/>
        <w:rPr>
          <w:rFonts w:ascii="Bookman Old Style"/>
          <w:b w:val="0"/>
          <w:i/>
          <w:sz w:val="20"/>
        </w:rPr>
      </w:pPr>
      <w:r>
        <w:rPr>
          <w:rFonts w:ascii="Bookman Old Style"/>
          <w:b w:val="0"/>
          <w:i/>
          <w:sz w:val="20"/>
        </w:rPr>
        <w:t>Battle</w:t>
      </w:r>
      <w:r>
        <w:rPr>
          <w:rFonts w:ascii="Bookman Old Style"/>
          <w:b w:val="0"/>
          <w:i/>
          <w:spacing w:val="34"/>
          <w:sz w:val="20"/>
        </w:rPr>
        <w:t> </w:t>
      </w:r>
      <w:r>
        <w:rPr>
          <w:rFonts w:ascii="Bookman Old Style"/>
          <w:b w:val="0"/>
          <w:i/>
          <w:sz w:val="20"/>
        </w:rPr>
        <w:t>Deaths</w:t>
      </w:r>
      <w:r>
        <w:rPr>
          <w:rFonts w:ascii="Trebuchet MS"/>
          <w:i/>
          <w:sz w:val="20"/>
          <w:vertAlign w:val="subscript"/>
        </w:rPr>
        <w:t>it</w:t>
      </w:r>
      <w:r>
        <w:rPr>
          <w:rFonts w:ascii="Trebuchet MS"/>
          <w:i/>
          <w:spacing w:val="57"/>
          <w:sz w:val="20"/>
          <w:vertAlign w:val="baseline"/>
        </w:rPr>
        <w:t> </w:t>
      </w:r>
      <w:r>
        <w:rPr>
          <w:sz w:val="20"/>
          <w:vertAlign w:val="baseline"/>
        </w:rPr>
        <w:t>=</w:t>
      </w:r>
      <w:r>
        <w:rPr>
          <w:spacing w:val="51"/>
          <w:sz w:val="20"/>
          <w:vertAlign w:val="baseline"/>
        </w:rPr>
        <w:t> </w:t>
      </w:r>
      <w:r>
        <w:rPr>
          <w:rFonts w:ascii="Bookman Old Style"/>
          <w:b w:val="0"/>
          <w:i/>
          <w:spacing w:val="10"/>
          <w:sz w:val="20"/>
          <w:vertAlign w:val="baseline"/>
        </w:rPr>
        <w:t>B</w:t>
      </w:r>
      <w:r>
        <w:rPr>
          <w:rFonts w:ascii="Century Gothic"/>
          <w:spacing w:val="10"/>
          <w:sz w:val="20"/>
          <w:vertAlign w:val="subscript"/>
        </w:rPr>
        <w:t>0</w:t>
      </w:r>
      <w:r>
        <w:rPr>
          <w:spacing w:val="10"/>
          <w:sz w:val="20"/>
          <w:vertAlign w:val="baseline"/>
        </w:rPr>
        <w:t>+</w:t>
      </w:r>
      <w:r>
        <w:rPr>
          <w:rFonts w:ascii="Bookman Old Style"/>
          <w:b w:val="0"/>
          <w:i/>
          <w:spacing w:val="10"/>
          <w:sz w:val="20"/>
          <w:vertAlign w:val="baseline"/>
        </w:rPr>
        <w:t>B</w:t>
      </w:r>
      <w:r>
        <w:rPr>
          <w:rFonts w:ascii="Century Gothic"/>
          <w:spacing w:val="10"/>
          <w:sz w:val="20"/>
          <w:vertAlign w:val="subscript"/>
        </w:rPr>
        <w:t>1</w:t>
      </w:r>
      <w:r>
        <w:rPr>
          <w:rFonts w:ascii="Bookman Old Style"/>
          <w:b w:val="0"/>
          <w:i/>
          <w:spacing w:val="10"/>
          <w:sz w:val="20"/>
          <w:vertAlign w:val="baseline"/>
        </w:rPr>
        <w:t>WTI</w:t>
      </w:r>
      <w:r>
        <w:rPr>
          <w:rFonts w:ascii="Bookman Old Style"/>
          <w:b w:val="0"/>
          <w:i/>
          <w:spacing w:val="26"/>
          <w:sz w:val="20"/>
          <w:vertAlign w:val="baseline"/>
        </w:rPr>
        <w:t> </w:t>
      </w:r>
      <w:r>
        <w:rPr>
          <w:rFonts w:ascii="Bookman Old Style"/>
          <w:b w:val="0"/>
          <w:i/>
          <w:sz w:val="20"/>
          <w:vertAlign w:val="baseline"/>
        </w:rPr>
        <w:t>Price</w:t>
      </w:r>
      <w:r>
        <w:rPr>
          <w:rFonts w:ascii="Trebuchet MS"/>
          <w:i/>
          <w:sz w:val="20"/>
          <w:vertAlign w:val="subscript"/>
        </w:rPr>
        <w:t>it</w:t>
      </w:r>
      <w:r>
        <w:rPr>
          <w:sz w:val="20"/>
          <w:vertAlign w:val="baseline"/>
        </w:rPr>
        <w:t>+</w:t>
      </w:r>
      <w:r>
        <w:rPr>
          <w:rFonts w:ascii="Bookman Old Style"/>
          <w:b w:val="0"/>
          <w:i/>
          <w:sz w:val="20"/>
          <w:vertAlign w:val="baseline"/>
        </w:rPr>
        <w:t>B</w:t>
      </w:r>
      <w:r>
        <w:rPr>
          <w:rFonts w:ascii="Century Gothic"/>
          <w:sz w:val="20"/>
          <w:vertAlign w:val="subscript"/>
        </w:rPr>
        <w:t>2</w:t>
      </w:r>
      <w:r>
        <w:rPr>
          <w:rFonts w:ascii="Bookman Old Style"/>
          <w:b w:val="0"/>
          <w:i/>
          <w:sz w:val="20"/>
          <w:vertAlign w:val="baseline"/>
        </w:rPr>
        <w:t>log</w:t>
      </w:r>
      <w:r>
        <w:rPr>
          <w:sz w:val="20"/>
          <w:vertAlign w:val="baseline"/>
        </w:rPr>
        <w:t>(</w:t>
      </w:r>
      <w:r>
        <w:rPr>
          <w:rFonts w:ascii="Bookman Old Style"/>
          <w:b w:val="0"/>
          <w:i/>
          <w:sz w:val="20"/>
          <w:vertAlign w:val="baseline"/>
        </w:rPr>
        <w:t>population</w:t>
      </w:r>
      <w:r>
        <w:rPr>
          <w:sz w:val="20"/>
          <w:vertAlign w:val="baseline"/>
        </w:rPr>
        <w:t>)</w:t>
      </w:r>
      <w:r>
        <w:rPr>
          <w:rFonts w:ascii="Trebuchet MS"/>
          <w:i/>
          <w:sz w:val="20"/>
          <w:vertAlign w:val="subscript"/>
        </w:rPr>
        <w:t>it</w:t>
      </w:r>
      <w:r>
        <w:rPr>
          <w:sz w:val="20"/>
          <w:vertAlign w:val="baseline"/>
        </w:rPr>
        <w:t>+</w:t>
      </w:r>
      <w:r>
        <w:rPr>
          <w:rFonts w:ascii="Bookman Old Style"/>
          <w:b w:val="0"/>
          <w:i/>
          <w:sz w:val="20"/>
          <w:vertAlign w:val="baseline"/>
        </w:rPr>
        <w:t>B</w:t>
      </w:r>
      <w:r>
        <w:rPr>
          <w:rFonts w:ascii="Century Gothic"/>
          <w:sz w:val="20"/>
          <w:vertAlign w:val="subscript"/>
        </w:rPr>
        <w:t>3</w:t>
      </w:r>
      <w:r>
        <w:rPr>
          <w:rFonts w:ascii="Bookman Old Style"/>
          <w:b w:val="0"/>
          <w:i/>
          <w:sz w:val="20"/>
          <w:vertAlign w:val="baseline"/>
        </w:rPr>
        <w:t>SecScore</w:t>
      </w:r>
      <w:r>
        <w:rPr>
          <w:rFonts w:ascii="Trebuchet MS"/>
          <w:i/>
          <w:sz w:val="20"/>
          <w:vertAlign w:val="subscript"/>
        </w:rPr>
        <w:t>it</w:t>
      </w:r>
      <w:r>
        <w:rPr>
          <w:sz w:val="20"/>
          <w:vertAlign w:val="baseline"/>
        </w:rPr>
        <w:t>+</w:t>
      </w:r>
      <w:r>
        <w:rPr>
          <w:rFonts w:ascii="Bookman Old Style"/>
          <w:b w:val="0"/>
          <w:i/>
          <w:sz w:val="20"/>
          <w:vertAlign w:val="baseline"/>
        </w:rPr>
        <w:t>B</w:t>
      </w:r>
      <w:r>
        <w:rPr>
          <w:rFonts w:ascii="Century Gothic"/>
          <w:sz w:val="20"/>
          <w:vertAlign w:val="subscript"/>
        </w:rPr>
        <w:t>4</w:t>
      </w:r>
      <w:r>
        <w:rPr>
          <w:rFonts w:ascii="Bookman Old Style"/>
          <w:b w:val="0"/>
          <w:i/>
          <w:sz w:val="20"/>
          <w:vertAlign w:val="baseline"/>
        </w:rPr>
        <w:t>log</w:t>
      </w:r>
      <w:r>
        <w:rPr>
          <w:sz w:val="20"/>
          <w:vertAlign w:val="baseline"/>
        </w:rPr>
        <w:t>(</w:t>
      </w:r>
      <w:r>
        <w:rPr>
          <w:rFonts w:ascii="Bookman Old Style"/>
          <w:b w:val="0"/>
          <w:i/>
          <w:sz w:val="20"/>
          <w:vertAlign w:val="baseline"/>
        </w:rPr>
        <w:t>GDP</w:t>
      </w:r>
      <w:r>
        <w:rPr>
          <w:rFonts w:ascii="Bookman Old Style"/>
          <w:b w:val="0"/>
          <w:i/>
          <w:spacing w:val="-12"/>
          <w:sz w:val="20"/>
          <w:vertAlign w:val="baseline"/>
        </w:rPr>
        <w:t> </w:t>
      </w:r>
      <w:r>
        <w:rPr>
          <w:spacing w:val="-2"/>
          <w:sz w:val="20"/>
          <w:vertAlign w:val="baseline"/>
        </w:rPr>
        <w:t>)</w:t>
      </w:r>
      <w:r>
        <w:rPr>
          <w:rFonts w:ascii="Trebuchet MS"/>
          <w:i/>
          <w:spacing w:val="-2"/>
          <w:sz w:val="20"/>
          <w:vertAlign w:val="subscript"/>
        </w:rPr>
        <w:t>it</w:t>
      </w:r>
      <w:r>
        <w:rPr>
          <w:spacing w:val="-2"/>
          <w:sz w:val="20"/>
          <w:vertAlign w:val="baseline"/>
        </w:rPr>
        <w:t>+</w:t>
      </w:r>
      <w:r>
        <w:rPr>
          <w:rFonts w:ascii="Bookman Old Style"/>
          <w:b w:val="0"/>
          <w:i/>
          <w:spacing w:val="-2"/>
          <w:sz w:val="20"/>
          <w:vertAlign w:val="baseline"/>
        </w:rPr>
        <w:t>C</w:t>
      </w:r>
      <w:r>
        <w:rPr>
          <w:rFonts w:ascii="Trebuchet MS"/>
          <w:i/>
          <w:spacing w:val="-2"/>
          <w:sz w:val="20"/>
          <w:vertAlign w:val="subscript"/>
        </w:rPr>
        <w:t>i</w:t>
      </w:r>
      <w:r>
        <w:rPr>
          <w:spacing w:val="-2"/>
          <w:sz w:val="20"/>
          <w:vertAlign w:val="baseline"/>
        </w:rPr>
        <w:t>+</w:t>
      </w:r>
      <w:r>
        <w:rPr>
          <w:rFonts w:ascii="Bookman Old Style"/>
          <w:b w:val="0"/>
          <w:i/>
          <w:spacing w:val="-2"/>
          <w:sz w:val="20"/>
          <w:vertAlign w:val="baseline"/>
        </w:rPr>
        <w:t>e</w:t>
      </w:r>
    </w:p>
    <w:p>
      <w:pPr>
        <w:spacing w:before="174"/>
        <w:ind w:left="416" w:right="0" w:firstLine="0"/>
        <w:jc w:val="left"/>
        <w:rPr>
          <w:sz w:val="20"/>
        </w:rPr>
      </w:pPr>
      <w:r>
        <w:rPr>
          <w:rFonts w:ascii="Bookman Old Style" w:hAnsi="Bookman Old Style"/>
          <w:b w:val="0"/>
          <w:i/>
          <w:sz w:val="20"/>
        </w:rPr>
        <w:t>Battle</w:t>
      </w:r>
      <w:r>
        <w:rPr>
          <w:rFonts w:ascii="Bookman Old Style" w:hAnsi="Bookman Old Style"/>
          <w:b w:val="0"/>
          <w:i/>
          <w:spacing w:val="27"/>
          <w:sz w:val="20"/>
        </w:rPr>
        <w:t> </w:t>
      </w:r>
      <w:r>
        <w:rPr>
          <w:rFonts w:ascii="Bookman Old Style" w:hAnsi="Bookman Old Style"/>
          <w:b w:val="0"/>
          <w:i/>
          <w:sz w:val="20"/>
        </w:rPr>
        <w:t>Deaths</w:t>
      </w:r>
      <w:r>
        <w:rPr>
          <w:rFonts w:ascii="Trebuchet MS" w:hAnsi="Trebuchet MS"/>
          <w:i/>
          <w:sz w:val="20"/>
          <w:vertAlign w:val="subscript"/>
        </w:rPr>
        <w:t>it</w:t>
      </w:r>
      <w:r>
        <w:rPr>
          <w:rFonts w:ascii="Trebuchet MS" w:hAnsi="Trebuchet MS"/>
          <w:i/>
          <w:spacing w:val="34"/>
          <w:sz w:val="20"/>
          <w:vertAlign w:val="baseline"/>
        </w:rPr>
        <w:t> </w:t>
      </w:r>
      <w:r>
        <w:rPr>
          <w:sz w:val="20"/>
          <w:vertAlign w:val="baseline"/>
        </w:rPr>
        <w:t>=</w:t>
      </w:r>
      <w:r>
        <w:rPr>
          <w:spacing w:val="32"/>
          <w:sz w:val="20"/>
          <w:vertAlign w:val="baseline"/>
        </w:rPr>
        <w:t> </w:t>
      </w:r>
      <w:r>
        <w:rPr>
          <w:rFonts w:ascii="Bookman Old Style" w:hAnsi="Bookman Old Style"/>
          <w:b w:val="0"/>
          <w:i/>
          <w:sz w:val="20"/>
          <w:vertAlign w:val="baseline"/>
        </w:rPr>
        <w:t>B</w:t>
      </w:r>
      <w:r>
        <w:rPr>
          <w:rFonts w:ascii="Century Gothic" w:hAnsi="Century Gothic"/>
          <w:sz w:val="20"/>
          <w:vertAlign w:val="subscript"/>
        </w:rPr>
        <w:t>0</w:t>
      </w:r>
      <w:r>
        <w:rPr>
          <w:rFonts w:ascii="Century Gothic" w:hAnsi="Century Gothic"/>
          <w:spacing w:val="-11"/>
          <w:sz w:val="20"/>
          <w:vertAlign w:val="baseline"/>
        </w:rPr>
        <w:t> </w:t>
      </w:r>
      <w:r>
        <w:rPr>
          <w:sz w:val="20"/>
          <w:vertAlign w:val="baseline"/>
        </w:rPr>
        <w:t>+</w:t>
      </w:r>
      <w:r>
        <w:rPr>
          <w:spacing w:val="-17"/>
          <w:sz w:val="20"/>
          <w:vertAlign w:val="baseline"/>
        </w:rPr>
        <w:t> </w:t>
      </w:r>
      <w:r>
        <w:rPr>
          <w:rFonts w:ascii="Bookman Old Style" w:hAnsi="Bookman Old Style"/>
          <w:b w:val="0"/>
          <w:i/>
          <w:spacing w:val="12"/>
          <w:sz w:val="20"/>
          <w:vertAlign w:val="baseline"/>
        </w:rPr>
        <w:t>B</w:t>
      </w:r>
      <w:r>
        <w:rPr>
          <w:rFonts w:ascii="Century Gothic" w:hAnsi="Century Gothic"/>
          <w:spacing w:val="12"/>
          <w:sz w:val="20"/>
          <w:vertAlign w:val="subscript"/>
        </w:rPr>
        <w:t>1</w:t>
      </w:r>
      <w:r>
        <w:rPr>
          <w:rFonts w:ascii="Bookman Old Style" w:hAnsi="Bookman Old Style"/>
          <w:b w:val="0"/>
          <w:i/>
          <w:spacing w:val="12"/>
          <w:sz w:val="20"/>
          <w:vertAlign w:val="baseline"/>
        </w:rPr>
        <w:t>WTI</w:t>
      </w:r>
      <w:r>
        <w:rPr>
          <w:rFonts w:ascii="Bookman Old Style" w:hAnsi="Bookman Old Style"/>
          <w:b w:val="0"/>
          <w:i/>
          <w:spacing w:val="9"/>
          <w:sz w:val="20"/>
          <w:vertAlign w:val="baseline"/>
        </w:rPr>
        <w:t> </w:t>
      </w:r>
      <w:r>
        <w:rPr>
          <w:rFonts w:ascii="Bookman Old Style" w:hAnsi="Bookman Old Style"/>
          <w:b w:val="0"/>
          <w:i/>
          <w:sz w:val="20"/>
          <w:vertAlign w:val="baseline"/>
        </w:rPr>
        <w:t>Price</w:t>
      </w:r>
      <w:r>
        <w:rPr>
          <w:rFonts w:ascii="Trebuchet MS" w:hAnsi="Trebuchet MS"/>
          <w:i/>
          <w:sz w:val="20"/>
          <w:vertAlign w:val="subscript"/>
        </w:rPr>
        <w:t>i</w:t>
      </w:r>
      <w:r>
        <w:rPr>
          <w:rFonts w:ascii="Century Gothic" w:hAnsi="Century Gothic"/>
          <w:sz w:val="20"/>
          <w:vertAlign w:val="subscript"/>
        </w:rPr>
        <w:t>(</w:t>
      </w:r>
      <w:r>
        <w:rPr>
          <w:rFonts w:ascii="Trebuchet MS" w:hAnsi="Trebuchet MS"/>
          <w:i/>
          <w:sz w:val="20"/>
          <w:vertAlign w:val="subscript"/>
        </w:rPr>
        <w:t>t</w:t>
      </w:r>
      <w:r>
        <w:rPr>
          <w:rFonts w:ascii="Lucida Sans Unicode" w:hAnsi="Lucida Sans Unicode"/>
          <w:sz w:val="20"/>
          <w:vertAlign w:val="subscript"/>
        </w:rPr>
        <w:t>−</w:t>
      </w:r>
      <w:r>
        <w:rPr>
          <w:rFonts w:ascii="Century Gothic" w:hAnsi="Century Gothic"/>
          <w:sz w:val="20"/>
          <w:vertAlign w:val="subscript"/>
        </w:rPr>
        <w:t>1)</w:t>
      </w:r>
      <w:r>
        <w:rPr>
          <w:rFonts w:ascii="Century Gothic" w:hAnsi="Century Gothic"/>
          <w:spacing w:val="-11"/>
          <w:sz w:val="20"/>
          <w:vertAlign w:val="baseline"/>
        </w:rPr>
        <w:t> </w:t>
      </w:r>
      <w:r>
        <w:rPr>
          <w:sz w:val="20"/>
          <w:vertAlign w:val="baseline"/>
        </w:rPr>
        <w:t>+</w:t>
      </w:r>
      <w:r>
        <w:rPr>
          <w:spacing w:val="-17"/>
          <w:sz w:val="20"/>
          <w:vertAlign w:val="baseline"/>
        </w:rPr>
        <w:t> </w:t>
      </w:r>
      <w:r>
        <w:rPr>
          <w:rFonts w:ascii="Bookman Old Style" w:hAnsi="Bookman Old Style"/>
          <w:b w:val="0"/>
          <w:i/>
          <w:sz w:val="20"/>
          <w:vertAlign w:val="baseline"/>
        </w:rPr>
        <w:t>B</w:t>
      </w:r>
      <w:r>
        <w:rPr>
          <w:rFonts w:ascii="Century Gothic" w:hAnsi="Century Gothic"/>
          <w:sz w:val="20"/>
          <w:vertAlign w:val="subscript"/>
        </w:rPr>
        <w:t>2</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population</w:t>
      </w:r>
      <w:r>
        <w:rPr>
          <w:sz w:val="20"/>
          <w:vertAlign w:val="baseline"/>
        </w:rPr>
        <w:t>)</w:t>
      </w:r>
      <w:r>
        <w:rPr>
          <w:rFonts w:ascii="Trebuchet MS" w:hAnsi="Trebuchet MS"/>
          <w:i/>
          <w:sz w:val="20"/>
          <w:vertAlign w:val="subscript"/>
        </w:rPr>
        <w:t>it</w:t>
      </w:r>
      <w:r>
        <w:rPr>
          <w:rFonts w:ascii="Trebuchet MS" w:hAnsi="Trebuchet MS"/>
          <w:i/>
          <w:spacing w:val="-15"/>
          <w:sz w:val="20"/>
          <w:vertAlign w:val="baseline"/>
        </w:rPr>
        <w:t> </w:t>
      </w:r>
      <w:r>
        <w:rPr>
          <w:sz w:val="20"/>
          <w:vertAlign w:val="baseline"/>
        </w:rPr>
        <w:t>+</w:t>
      </w:r>
      <w:r>
        <w:rPr>
          <w:spacing w:val="-18"/>
          <w:sz w:val="20"/>
          <w:vertAlign w:val="baseline"/>
        </w:rPr>
        <w:t> </w:t>
      </w:r>
      <w:r>
        <w:rPr>
          <w:rFonts w:ascii="Bookman Old Style" w:hAnsi="Bookman Old Style"/>
          <w:b w:val="0"/>
          <w:i/>
          <w:sz w:val="20"/>
          <w:vertAlign w:val="baseline"/>
        </w:rPr>
        <w:t>B</w:t>
      </w:r>
      <w:r>
        <w:rPr>
          <w:rFonts w:ascii="Century Gothic" w:hAnsi="Century Gothic"/>
          <w:sz w:val="20"/>
          <w:vertAlign w:val="subscript"/>
        </w:rPr>
        <w:t>3</w:t>
      </w:r>
      <w:r>
        <w:rPr>
          <w:rFonts w:ascii="Bookman Old Style" w:hAnsi="Bookman Old Style"/>
          <w:b w:val="0"/>
          <w:i/>
          <w:sz w:val="20"/>
          <w:vertAlign w:val="baseline"/>
        </w:rPr>
        <w:t>SecScore</w:t>
      </w:r>
      <w:r>
        <w:rPr>
          <w:rFonts w:ascii="Trebuchet MS" w:hAnsi="Trebuchet MS"/>
          <w:i/>
          <w:sz w:val="20"/>
          <w:vertAlign w:val="subscript"/>
        </w:rPr>
        <w:t>it</w:t>
      </w:r>
      <w:r>
        <w:rPr>
          <w:rFonts w:ascii="Trebuchet MS" w:hAnsi="Trebuchet MS"/>
          <w:i/>
          <w:spacing w:val="-15"/>
          <w:sz w:val="20"/>
          <w:vertAlign w:val="baseline"/>
        </w:rPr>
        <w:t> </w:t>
      </w:r>
      <w:r>
        <w:rPr>
          <w:sz w:val="20"/>
          <w:vertAlign w:val="baseline"/>
        </w:rPr>
        <w:t>+</w:t>
      </w:r>
      <w:r>
        <w:rPr>
          <w:spacing w:val="-17"/>
          <w:sz w:val="20"/>
          <w:vertAlign w:val="baseline"/>
        </w:rPr>
        <w:t> </w:t>
      </w:r>
      <w:r>
        <w:rPr>
          <w:rFonts w:ascii="Bookman Old Style" w:hAnsi="Bookman Old Style"/>
          <w:b w:val="0"/>
          <w:i/>
          <w:sz w:val="20"/>
          <w:vertAlign w:val="baseline"/>
        </w:rPr>
        <w:t>B</w:t>
      </w:r>
      <w:r>
        <w:rPr>
          <w:rFonts w:ascii="Century Gothic" w:hAnsi="Century Gothic"/>
          <w:sz w:val="20"/>
          <w:vertAlign w:val="subscript"/>
        </w:rPr>
        <w:t>4</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GDP</w:t>
      </w:r>
      <w:r>
        <w:rPr>
          <w:rFonts w:ascii="Bookman Old Style" w:hAnsi="Bookman Old Style"/>
          <w:b w:val="0"/>
          <w:i/>
          <w:spacing w:val="-21"/>
          <w:sz w:val="20"/>
          <w:vertAlign w:val="baseline"/>
        </w:rPr>
        <w:t> </w:t>
      </w:r>
      <w:r>
        <w:rPr>
          <w:sz w:val="20"/>
          <w:vertAlign w:val="baseline"/>
        </w:rPr>
        <w:t>)</w:t>
      </w:r>
      <w:r>
        <w:rPr>
          <w:rFonts w:ascii="Trebuchet MS" w:hAnsi="Trebuchet MS"/>
          <w:i/>
          <w:sz w:val="20"/>
          <w:vertAlign w:val="subscript"/>
        </w:rPr>
        <w:t>it</w:t>
      </w:r>
      <w:r>
        <w:rPr>
          <w:rFonts w:ascii="Trebuchet MS" w:hAnsi="Trebuchet MS"/>
          <w:i/>
          <w:spacing w:val="-15"/>
          <w:sz w:val="20"/>
          <w:vertAlign w:val="baseline"/>
        </w:rPr>
        <w:t> </w:t>
      </w:r>
      <w:r>
        <w:rPr>
          <w:spacing w:val="-10"/>
          <w:sz w:val="20"/>
          <w:vertAlign w:val="baseline"/>
        </w:rPr>
        <w:t>+</w:t>
      </w:r>
    </w:p>
    <w:p>
      <w:pPr>
        <w:spacing w:before="23"/>
        <w:ind w:left="117" w:right="0" w:firstLine="0"/>
        <w:jc w:val="left"/>
        <w:rPr>
          <w:rFonts w:ascii="Bookman Old Style"/>
          <w:b w:val="0"/>
          <w:i/>
          <w:sz w:val="20"/>
        </w:rPr>
      </w:pPr>
      <w:r>
        <w:rPr>
          <w:rFonts w:ascii="Bookman Old Style"/>
          <w:b w:val="0"/>
          <w:i/>
          <w:w w:val="105"/>
          <w:sz w:val="20"/>
        </w:rPr>
        <w:t>C</w:t>
      </w:r>
      <w:r>
        <w:rPr>
          <w:rFonts w:ascii="Trebuchet MS"/>
          <w:i/>
          <w:w w:val="105"/>
          <w:sz w:val="20"/>
          <w:vertAlign w:val="subscript"/>
        </w:rPr>
        <w:t>i</w:t>
      </w:r>
      <w:r>
        <w:rPr>
          <w:rFonts w:ascii="Trebuchet MS"/>
          <w:i/>
          <w:spacing w:val="3"/>
          <w:w w:val="105"/>
          <w:sz w:val="20"/>
          <w:vertAlign w:val="baseline"/>
        </w:rPr>
        <w:t> </w:t>
      </w:r>
      <w:r>
        <w:rPr>
          <w:w w:val="105"/>
          <w:sz w:val="20"/>
          <w:vertAlign w:val="baseline"/>
        </w:rPr>
        <w:t>+</w:t>
      </w:r>
      <w:r>
        <w:rPr>
          <w:spacing w:val="4"/>
          <w:w w:val="105"/>
          <w:sz w:val="20"/>
          <w:vertAlign w:val="baseline"/>
        </w:rPr>
        <w:t> </w:t>
      </w:r>
      <w:r>
        <w:rPr>
          <w:rFonts w:ascii="Bookman Old Style"/>
          <w:b w:val="0"/>
          <w:i/>
          <w:spacing w:val="-10"/>
          <w:w w:val="105"/>
          <w:sz w:val="20"/>
          <w:vertAlign w:val="baseline"/>
        </w:rPr>
        <w:t>e</w:t>
      </w:r>
    </w:p>
    <w:p>
      <w:pPr>
        <w:pStyle w:val="BodyText"/>
        <w:spacing w:before="5"/>
        <w:rPr>
          <w:rFonts w:ascii="Bookman Old Style"/>
          <w:b w:val="0"/>
          <w:i/>
          <w:sz w:val="16"/>
        </w:rPr>
      </w:pPr>
    </w:p>
    <w:p>
      <w:pPr>
        <w:spacing w:before="0"/>
        <w:ind w:left="416" w:right="0" w:firstLine="0"/>
        <w:jc w:val="left"/>
        <w:rPr>
          <w:sz w:val="20"/>
        </w:rPr>
      </w:pPr>
      <w:r>
        <w:rPr>
          <w:rFonts w:ascii="Bookman Old Style"/>
          <w:b w:val="0"/>
          <w:i/>
          <w:sz w:val="20"/>
        </w:rPr>
        <w:t>Battle</w:t>
      </w:r>
      <w:r>
        <w:rPr>
          <w:rFonts w:ascii="Bookman Old Style"/>
          <w:b w:val="0"/>
          <w:i/>
          <w:spacing w:val="11"/>
          <w:sz w:val="20"/>
        </w:rPr>
        <w:t> </w:t>
      </w:r>
      <w:r>
        <w:rPr>
          <w:rFonts w:ascii="Bookman Old Style"/>
          <w:b w:val="0"/>
          <w:i/>
          <w:sz w:val="20"/>
        </w:rPr>
        <w:t>Deaths</w:t>
      </w:r>
      <w:r>
        <w:rPr>
          <w:rFonts w:ascii="Trebuchet MS"/>
          <w:i/>
          <w:sz w:val="20"/>
          <w:vertAlign w:val="subscript"/>
        </w:rPr>
        <w:t>it</w:t>
      </w:r>
      <w:r>
        <w:rPr>
          <w:rFonts w:ascii="Trebuchet MS"/>
          <w:i/>
          <w:spacing w:val="32"/>
          <w:sz w:val="20"/>
          <w:vertAlign w:val="baseline"/>
        </w:rPr>
        <w:t> </w:t>
      </w:r>
      <w:r>
        <w:rPr>
          <w:sz w:val="20"/>
          <w:vertAlign w:val="baseline"/>
        </w:rPr>
        <w:t>=</w:t>
      </w:r>
      <w:r>
        <w:rPr>
          <w:spacing w:val="29"/>
          <w:sz w:val="20"/>
          <w:vertAlign w:val="baseline"/>
        </w:rPr>
        <w:t> </w:t>
      </w:r>
      <w:r>
        <w:rPr>
          <w:rFonts w:ascii="Bookman Old Style"/>
          <w:b w:val="0"/>
          <w:i/>
          <w:spacing w:val="9"/>
          <w:sz w:val="20"/>
          <w:vertAlign w:val="baseline"/>
        </w:rPr>
        <w:t>B</w:t>
      </w:r>
      <w:r>
        <w:rPr>
          <w:rFonts w:ascii="Century Gothic"/>
          <w:spacing w:val="9"/>
          <w:sz w:val="20"/>
          <w:vertAlign w:val="subscript"/>
        </w:rPr>
        <w:t>0</w:t>
      </w:r>
      <w:r>
        <w:rPr>
          <w:spacing w:val="9"/>
          <w:sz w:val="20"/>
          <w:vertAlign w:val="baseline"/>
        </w:rPr>
        <w:t>+</w:t>
      </w:r>
      <w:r>
        <w:rPr>
          <w:rFonts w:ascii="Bookman Old Style"/>
          <w:b w:val="0"/>
          <w:i/>
          <w:spacing w:val="9"/>
          <w:sz w:val="20"/>
          <w:vertAlign w:val="baseline"/>
        </w:rPr>
        <w:t>B</w:t>
      </w:r>
      <w:r>
        <w:rPr>
          <w:rFonts w:ascii="Century Gothic"/>
          <w:spacing w:val="9"/>
          <w:sz w:val="20"/>
          <w:vertAlign w:val="subscript"/>
        </w:rPr>
        <w:t>1</w:t>
      </w:r>
      <w:r>
        <w:rPr>
          <w:rFonts w:ascii="Bookman Old Style"/>
          <w:b w:val="0"/>
          <w:i/>
          <w:spacing w:val="9"/>
          <w:sz w:val="20"/>
          <w:vertAlign w:val="baseline"/>
        </w:rPr>
        <w:t>WTI</w:t>
      </w:r>
      <w:r>
        <w:rPr>
          <w:rFonts w:ascii="Bookman Old Style"/>
          <w:b w:val="0"/>
          <w:i/>
          <w:spacing w:val="8"/>
          <w:sz w:val="20"/>
          <w:vertAlign w:val="baseline"/>
        </w:rPr>
        <w:t> </w:t>
      </w:r>
      <w:r>
        <w:rPr>
          <w:rFonts w:ascii="Bookman Old Style"/>
          <w:b w:val="0"/>
          <w:i/>
          <w:sz w:val="20"/>
          <w:vertAlign w:val="baseline"/>
        </w:rPr>
        <w:t>Price</w:t>
      </w:r>
      <w:r>
        <w:rPr>
          <w:rFonts w:ascii="Bookman Old Style"/>
          <w:b w:val="0"/>
          <w:i/>
          <w:spacing w:val="-14"/>
          <w:sz w:val="20"/>
          <w:vertAlign w:val="baseline"/>
        </w:rPr>
        <w:t> </w:t>
      </w:r>
      <w:r>
        <w:rPr>
          <w:rFonts w:ascii="Bookman Old Style"/>
          <w:b w:val="0"/>
          <w:i/>
          <w:sz w:val="20"/>
          <w:vertAlign w:val="baseline"/>
        </w:rPr>
        <w:t>Change</w:t>
      </w:r>
      <w:r>
        <w:rPr>
          <w:rFonts w:ascii="Trebuchet MS"/>
          <w:i/>
          <w:sz w:val="20"/>
          <w:vertAlign w:val="subscript"/>
        </w:rPr>
        <w:t>it</w:t>
      </w:r>
      <w:r>
        <w:rPr>
          <w:sz w:val="20"/>
          <w:vertAlign w:val="baseline"/>
        </w:rPr>
        <w:t>+</w:t>
      </w:r>
      <w:r>
        <w:rPr>
          <w:rFonts w:ascii="Bookman Old Style"/>
          <w:b w:val="0"/>
          <w:i/>
          <w:sz w:val="20"/>
          <w:vertAlign w:val="baseline"/>
        </w:rPr>
        <w:t>B</w:t>
      </w:r>
      <w:r>
        <w:rPr>
          <w:rFonts w:ascii="Century Gothic"/>
          <w:sz w:val="20"/>
          <w:vertAlign w:val="subscript"/>
        </w:rPr>
        <w:t>2</w:t>
      </w:r>
      <w:r>
        <w:rPr>
          <w:rFonts w:ascii="Bookman Old Style"/>
          <w:b w:val="0"/>
          <w:i/>
          <w:sz w:val="20"/>
          <w:vertAlign w:val="baseline"/>
        </w:rPr>
        <w:t>log</w:t>
      </w:r>
      <w:r>
        <w:rPr>
          <w:sz w:val="20"/>
          <w:vertAlign w:val="baseline"/>
        </w:rPr>
        <w:t>(</w:t>
      </w:r>
      <w:r>
        <w:rPr>
          <w:rFonts w:ascii="Bookman Old Style"/>
          <w:b w:val="0"/>
          <w:i/>
          <w:sz w:val="20"/>
          <w:vertAlign w:val="baseline"/>
        </w:rPr>
        <w:t>population</w:t>
      </w:r>
      <w:r>
        <w:rPr>
          <w:sz w:val="20"/>
          <w:vertAlign w:val="baseline"/>
        </w:rPr>
        <w:t>)</w:t>
      </w:r>
      <w:r>
        <w:rPr>
          <w:rFonts w:ascii="Trebuchet MS"/>
          <w:i/>
          <w:sz w:val="20"/>
          <w:vertAlign w:val="subscript"/>
        </w:rPr>
        <w:t>it</w:t>
      </w:r>
      <w:r>
        <w:rPr>
          <w:sz w:val="20"/>
          <w:vertAlign w:val="baseline"/>
        </w:rPr>
        <w:t>+</w:t>
      </w:r>
      <w:r>
        <w:rPr>
          <w:rFonts w:ascii="Bookman Old Style"/>
          <w:b w:val="0"/>
          <w:i/>
          <w:sz w:val="20"/>
          <w:vertAlign w:val="baseline"/>
        </w:rPr>
        <w:t>B</w:t>
      </w:r>
      <w:r>
        <w:rPr>
          <w:rFonts w:ascii="Century Gothic"/>
          <w:sz w:val="20"/>
          <w:vertAlign w:val="subscript"/>
        </w:rPr>
        <w:t>3</w:t>
      </w:r>
      <w:r>
        <w:rPr>
          <w:rFonts w:ascii="Bookman Old Style"/>
          <w:b w:val="0"/>
          <w:i/>
          <w:sz w:val="20"/>
          <w:vertAlign w:val="baseline"/>
        </w:rPr>
        <w:t>SecScore</w:t>
      </w:r>
      <w:r>
        <w:rPr>
          <w:rFonts w:ascii="Trebuchet MS"/>
          <w:i/>
          <w:sz w:val="20"/>
          <w:vertAlign w:val="subscript"/>
        </w:rPr>
        <w:t>it</w:t>
      </w:r>
      <w:r>
        <w:rPr>
          <w:sz w:val="20"/>
          <w:vertAlign w:val="baseline"/>
        </w:rPr>
        <w:t>+</w:t>
      </w:r>
      <w:r>
        <w:rPr>
          <w:rFonts w:ascii="Bookman Old Style"/>
          <w:b w:val="0"/>
          <w:i/>
          <w:sz w:val="20"/>
          <w:vertAlign w:val="baseline"/>
        </w:rPr>
        <w:t>B</w:t>
      </w:r>
      <w:r>
        <w:rPr>
          <w:rFonts w:ascii="Century Gothic"/>
          <w:sz w:val="20"/>
          <w:vertAlign w:val="subscript"/>
        </w:rPr>
        <w:t>4</w:t>
      </w:r>
      <w:r>
        <w:rPr>
          <w:rFonts w:ascii="Bookman Old Style"/>
          <w:b w:val="0"/>
          <w:i/>
          <w:sz w:val="20"/>
          <w:vertAlign w:val="baseline"/>
        </w:rPr>
        <w:t>log</w:t>
      </w:r>
      <w:r>
        <w:rPr>
          <w:sz w:val="20"/>
          <w:vertAlign w:val="baseline"/>
        </w:rPr>
        <w:t>(</w:t>
      </w:r>
      <w:r>
        <w:rPr>
          <w:rFonts w:ascii="Bookman Old Style"/>
          <w:b w:val="0"/>
          <w:i/>
          <w:sz w:val="20"/>
          <w:vertAlign w:val="baseline"/>
        </w:rPr>
        <w:t>GDP</w:t>
      </w:r>
      <w:r>
        <w:rPr>
          <w:rFonts w:ascii="Bookman Old Style"/>
          <w:b w:val="0"/>
          <w:i/>
          <w:spacing w:val="-22"/>
          <w:sz w:val="20"/>
          <w:vertAlign w:val="baseline"/>
        </w:rPr>
        <w:t> </w:t>
      </w:r>
      <w:r>
        <w:rPr>
          <w:spacing w:val="-4"/>
          <w:sz w:val="20"/>
          <w:vertAlign w:val="baseline"/>
        </w:rPr>
        <w:t>)</w:t>
      </w:r>
      <w:r>
        <w:rPr>
          <w:rFonts w:ascii="Trebuchet MS"/>
          <w:i/>
          <w:spacing w:val="-4"/>
          <w:sz w:val="20"/>
          <w:vertAlign w:val="subscript"/>
        </w:rPr>
        <w:t>it</w:t>
      </w:r>
      <w:r>
        <w:rPr>
          <w:spacing w:val="-4"/>
          <w:sz w:val="20"/>
          <w:vertAlign w:val="baseline"/>
        </w:rPr>
        <w:t>+</w:t>
      </w:r>
    </w:p>
    <w:p>
      <w:pPr>
        <w:spacing w:before="64"/>
        <w:ind w:left="117" w:right="0" w:firstLine="0"/>
        <w:jc w:val="left"/>
        <w:rPr>
          <w:rFonts w:ascii="Bookman Old Style"/>
          <w:b w:val="0"/>
          <w:i/>
          <w:sz w:val="20"/>
        </w:rPr>
      </w:pPr>
      <w:r>
        <w:rPr>
          <w:rFonts w:ascii="Bookman Old Style"/>
          <w:b w:val="0"/>
          <w:i/>
          <w:w w:val="105"/>
          <w:sz w:val="20"/>
        </w:rPr>
        <w:t>C</w:t>
      </w:r>
      <w:r>
        <w:rPr>
          <w:rFonts w:ascii="Trebuchet MS"/>
          <w:i/>
          <w:w w:val="105"/>
          <w:sz w:val="20"/>
          <w:vertAlign w:val="subscript"/>
        </w:rPr>
        <w:t>i</w:t>
      </w:r>
      <w:r>
        <w:rPr>
          <w:rFonts w:ascii="Trebuchet MS"/>
          <w:i/>
          <w:spacing w:val="3"/>
          <w:w w:val="105"/>
          <w:sz w:val="20"/>
          <w:vertAlign w:val="baseline"/>
        </w:rPr>
        <w:t> </w:t>
      </w:r>
      <w:r>
        <w:rPr>
          <w:w w:val="105"/>
          <w:sz w:val="20"/>
          <w:vertAlign w:val="baseline"/>
        </w:rPr>
        <w:t>+</w:t>
      </w:r>
      <w:r>
        <w:rPr>
          <w:spacing w:val="4"/>
          <w:w w:val="105"/>
          <w:sz w:val="20"/>
          <w:vertAlign w:val="baseline"/>
        </w:rPr>
        <w:t> </w:t>
      </w:r>
      <w:r>
        <w:rPr>
          <w:rFonts w:ascii="Bookman Old Style"/>
          <w:b w:val="0"/>
          <w:i/>
          <w:spacing w:val="-10"/>
          <w:w w:val="105"/>
          <w:sz w:val="20"/>
          <w:vertAlign w:val="baseline"/>
        </w:rPr>
        <w:t>e</w:t>
      </w:r>
    </w:p>
    <w:p>
      <w:pPr>
        <w:spacing w:before="175"/>
        <w:ind w:left="416" w:right="0" w:firstLine="0"/>
        <w:jc w:val="left"/>
        <w:rPr>
          <w:sz w:val="20"/>
        </w:rPr>
      </w:pPr>
      <w:r>
        <w:rPr>
          <w:rFonts w:ascii="Bookman Old Style" w:hAnsi="Bookman Old Style"/>
          <w:b w:val="0"/>
          <w:i/>
          <w:sz w:val="20"/>
        </w:rPr>
        <w:t>Battle</w:t>
      </w:r>
      <w:r>
        <w:rPr>
          <w:rFonts w:ascii="Bookman Old Style" w:hAnsi="Bookman Old Style"/>
          <w:b w:val="0"/>
          <w:i/>
          <w:spacing w:val="21"/>
          <w:sz w:val="20"/>
        </w:rPr>
        <w:t> </w:t>
      </w:r>
      <w:r>
        <w:rPr>
          <w:rFonts w:ascii="Bookman Old Style" w:hAnsi="Bookman Old Style"/>
          <w:b w:val="0"/>
          <w:i/>
          <w:sz w:val="20"/>
        </w:rPr>
        <w:t>Deaths</w:t>
      </w:r>
      <w:r>
        <w:rPr>
          <w:rFonts w:ascii="Trebuchet MS" w:hAnsi="Trebuchet MS"/>
          <w:i/>
          <w:sz w:val="20"/>
          <w:vertAlign w:val="subscript"/>
        </w:rPr>
        <w:t>it</w:t>
      </w:r>
      <w:r>
        <w:rPr>
          <w:rFonts w:ascii="Trebuchet MS" w:hAnsi="Trebuchet MS"/>
          <w:i/>
          <w:spacing w:val="45"/>
          <w:sz w:val="20"/>
          <w:vertAlign w:val="baseline"/>
        </w:rPr>
        <w:t> </w:t>
      </w:r>
      <w:r>
        <w:rPr>
          <w:sz w:val="20"/>
          <w:vertAlign w:val="baseline"/>
        </w:rPr>
        <w:t>=</w:t>
      </w:r>
      <w:r>
        <w:rPr>
          <w:spacing w:val="40"/>
          <w:sz w:val="20"/>
          <w:vertAlign w:val="baseline"/>
        </w:rPr>
        <w:t> </w:t>
      </w:r>
      <w:r>
        <w:rPr>
          <w:rFonts w:ascii="Bookman Old Style" w:hAnsi="Bookman Old Style"/>
          <w:b w:val="0"/>
          <w:i/>
          <w:spacing w:val="9"/>
          <w:sz w:val="20"/>
          <w:vertAlign w:val="baseline"/>
        </w:rPr>
        <w:t>B</w:t>
      </w:r>
      <w:r>
        <w:rPr>
          <w:rFonts w:ascii="Century Gothic" w:hAnsi="Century Gothic"/>
          <w:spacing w:val="9"/>
          <w:sz w:val="20"/>
          <w:vertAlign w:val="subscript"/>
        </w:rPr>
        <w:t>0</w:t>
      </w:r>
      <w:r>
        <w:rPr>
          <w:spacing w:val="9"/>
          <w:sz w:val="20"/>
          <w:vertAlign w:val="baseline"/>
        </w:rPr>
        <w:t>+</w:t>
      </w:r>
      <w:r>
        <w:rPr>
          <w:rFonts w:ascii="Bookman Old Style" w:hAnsi="Bookman Old Style"/>
          <w:b w:val="0"/>
          <w:i/>
          <w:spacing w:val="9"/>
          <w:sz w:val="20"/>
          <w:vertAlign w:val="baseline"/>
        </w:rPr>
        <w:t>B</w:t>
      </w:r>
      <w:r>
        <w:rPr>
          <w:rFonts w:ascii="Century Gothic" w:hAnsi="Century Gothic"/>
          <w:spacing w:val="9"/>
          <w:sz w:val="20"/>
          <w:vertAlign w:val="subscript"/>
        </w:rPr>
        <w:t>1</w:t>
      </w:r>
      <w:r>
        <w:rPr>
          <w:rFonts w:ascii="Bookman Old Style" w:hAnsi="Bookman Old Style"/>
          <w:b w:val="0"/>
          <w:i/>
          <w:spacing w:val="9"/>
          <w:sz w:val="20"/>
          <w:vertAlign w:val="baseline"/>
        </w:rPr>
        <w:t>WTI</w:t>
      </w:r>
      <w:r>
        <w:rPr>
          <w:rFonts w:ascii="Bookman Old Style" w:hAnsi="Bookman Old Style"/>
          <w:b w:val="0"/>
          <w:i/>
          <w:spacing w:val="17"/>
          <w:sz w:val="20"/>
          <w:vertAlign w:val="baseline"/>
        </w:rPr>
        <w:t> </w:t>
      </w:r>
      <w:r>
        <w:rPr>
          <w:rFonts w:ascii="Bookman Old Style" w:hAnsi="Bookman Old Style"/>
          <w:b w:val="0"/>
          <w:i/>
          <w:sz w:val="20"/>
          <w:vertAlign w:val="baseline"/>
        </w:rPr>
        <w:t>Price</w:t>
      </w:r>
      <w:r>
        <w:rPr>
          <w:rFonts w:ascii="Bookman Old Style" w:hAnsi="Bookman Old Style"/>
          <w:b w:val="0"/>
          <w:i/>
          <w:spacing w:val="-7"/>
          <w:sz w:val="20"/>
          <w:vertAlign w:val="baseline"/>
        </w:rPr>
        <w:t> </w:t>
      </w:r>
      <w:r>
        <w:rPr>
          <w:rFonts w:ascii="Bookman Old Style" w:hAnsi="Bookman Old Style"/>
          <w:b w:val="0"/>
          <w:i/>
          <w:sz w:val="20"/>
          <w:vertAlign w:val="baseline"/>
        </w:rPr>
        <w:t>Change</w:t>
      </w:r>
      <w:r>
        <w:rPr>
          <w:rFonts w:ascii="Trebuchet MS" w:hAnsi="Trebuchet MS"/>
          <w:i/>
          <w:sz w:val="20"/>
          <w:vertAlign w:val="subscript"/>
        </w:rPr>
        <w:t>i</w:t>
      </w:r>
      <w:r>
        <w:rPr>
          <w:rFonts w:ascii="Century Gothic" w:hAnsi="Century Gothic"/>
          <w:sz w:val="20"/>
          <w:vertAlign w:val="subscript"/>
        </w:rPr>
        <w:t>(</w:t>
      </w:r>
      <w:r>
        <w:rPr>
          <w:rFonts w:ascii="Trebuchet MS" w:hAnsi="Trebuchet MS"/>
          <w:i/>
          <w:sz w:val="20"/>
          <w:vertAlign w:val="subscript"/>
        </w:rPr>
        <w:t>t</w:t>
      </w:r>
      <w:r>
        <w:rPr>
          <w:rFonts w:ascii="Lucida Sans Unicode" w:hAnsi="Lucida Sans Unicode"/>
          <w:sz w:val="20"/>
          <w:vertAlign w:val="subscript"/>
        </w:rPr>
        <w:t>−</w:t>
      </w:r>
      <w:r>
        <w:rPr>
          <w:rFonts w:ascii="Century Gothic" w:hAnsi="Century Gothic"/>
          <w:sz w:val="20"/>
          <w:vertAlign w:val="subscript"/>
        </w:rPr>
        <w:t>1)</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2</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population</w:t>
      </w:r>
      <w:r>
        <w:rPr>
          <w:sz w:val="20"/>
          <w:vertAlign w:val="baseline"/>
        </w:rPr>
        <w:t>)</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3</w:t>
      </w:r>
      <w:r>
        <w:rPr>
          <w:rFonts w:ascii="Bookman Old Style" w:hAnsi="Bookman Old Style"/>
          <w:b w:val="0"/>
          <w:i/>
          <w:sz w:val="20"/>
          <w:vertAlign w:val="baseline"/>
        </w:rPr>
        <w:t>SecScore</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4</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GDP</w:t>
      </w:r>
      <w:r>
        <w:rPr>
          <w:rFonts w:ascii="Bookman Old Style" w:hAnsi="Bookman Old Style"/>
          <w:b w:val="0"/>
          <w:i/>
          <w:spacing w:val="-17"/>
          <w:sz w:val="20"/>
          <w:vertAlign w:val="baseline"/>
        </w:rPr>
        <w:t> </w:t>
      </w:r>
      <w:r>
        <w:rPr>
          <w:spacing w:val="-4"/>
          <w:sz w:val="20"/>
          <w:vertAlign w:val="baseline"/>
        </w:rPr>
        <w:t>)</w:t>
      </w:r>
      <w:r>
        <w:rPr>
          <w:rFonts w:ascii="Trebuchet MS" w:hAnsi="Trebuchet MS"/>
          <w:i/>
          <w:spacing w:val="-4"/>
          <w:sz w:val="20"/>
          <w:vertAlign w:val="subscript"/>
        </w:rPr>
        <w:t>it</w:t>
      </w:r>
      <w:r>
        <w:rPr>
          <w:spacing w:val="-4"/>
          <w:sz w:val="20"/>
          <w:vertAlign w:val="baseline"/>
        </w:rPr>
        <w:t>+</w:t>
      </w:r>
    </w:p>
    <w:p>
      <w:pPr>
        <w:spacing w:before="23"/>
        <w:ind w:left="117" w:right="0" w:firstLine="0"/>
        <w:jc w:val="left"/>
        <w:rPr>
          <w:rFonts w:ascii="Bookman Old Style"/>
          <w:b w:val="0"/>
          <w:i/>
          <w:sz w:val="20"/>
        </w:rPr>
      </w:pPr>
      <w:r>
        <w:rPr>
          <w:rFonts w:ascii="Bookman Old Style"/>
          <w:b w:val="0"/>
          <w:i/>
          <w:w w:val="105"/>
          <w:sz w:val="20"/>
        </w:rPr>
        <w:t>C</w:t>
      </w:r>
      <w:r>
        <w:rPr>
          <w:rFonts w:ascii="Trebuchet MS"/>
          <w:i/>
          <w:w w:val="105"/>
          <w:sz w:val="20"/>
          <w:vertAlign w:val="subscript"/>
        </w:rPr>
        <w:t>i</w:t>
      </w:r>
      <w:r>
        <w:rPr>
          <w:rFonts w:ascii="Trebuchet MS"/>
          <w:i/>
          <w:spacing w:val="3"/>
          <w:w w:val="105"/>
          <w:sz w:val="20"/>
          <w:vertAlign w:val="baseline"/>
        </w:rPr>
        <w:t> </w:t>
      </w:r>
      <w:r>
        <w:rPr>
          <w:w w:val="105"/>
          <w:sz w:val="20"/>
          <w:vertAlign w:val="baseline"/>
        </w:rPr>
        <w:t>+</w:t>
      </w:r>
      <w:r>
        <w:rPr>
          <w:spacing w:val="4"/>
          <w:w w:val="105"/>
          <w:sz w:val="20"/>
          <w:vertAlign w:val="baseline"/>
        </w:rPr>
        <w:t> </w:t>
      </w:r>
      <w:r>
        <w:rPr>
          <w:rFonts w:ascii="Bookman Old Style"/>
          <w:b w:val="0"/>
          <w:i/>
          <w:spacing w:val="-10"/>
          <w:w w:val="105"/>
          <w:sz w:val="20"/>
          <w:vertAlign w:val="baseline"/>
        </w:rPr>
        <w:t>e</w:t>
      </w:r>
    </w:p>
    <w:p>
      <w:pPr>
        <w:pStyle w:val="BodyText"/>
        <w:spacing w:before="11"/>
        <w:rPr>
          <w:rFonts w:ascii="Bookman Old Style"/>
          <w:b w:val="0"/>
          <w:i/>
          <w:sz w:val="17"/>
        </w:rPr>
      </w:pPr>
    </w:p>
    <w:p>
      <w:pPr>
        <w:pStyle w:val="BodyText"/>
        <w:spacing w:line="316" w:lineRule="auto"/>
        <w:ind w:left="117" w:right="633" w:firstLine="298"/>
        <w:jc w:val="both"/>
      </w:pPr>
      <w:r>
        <w:rPr/>
        <w:t>As</w:t>
      </w:r>
      <w:r>
        <w:rPr>
          <w:spacing w:val="-4"/>
        </w:rPr>
        <w:t> </w:t>
      </w:r>
      <w:r>
        <w:rPr/>
        <w:t>the</w:t>
      </w:r>
      <w:r>
        <w:rPr>
          <w:spacing w:val="-4"/>
        </w:rPr>
        <w:t> </w:t>
      </w:r>
      <w:r>
        <w:rPr/>
        <w:t>table</w:t>
      </w:r>
      <w:r>
        <w:rPr>
          <w:spacing w:val="-4"/>
        </w:rPr>
        <w:t> </w:t>
      </w:r>
      <w:r>
        <w:rPr/>
        <w:t>illustrates,</w:t>
      </w:r>
      <w:r>
        <w:rPr>
          <w:spacing w:val="-4"/>
        </w:rPr>
        <w:t> </w:t>
      </w:r>
      <w:r>
        <w:rPr/>
        <w:t>we</w:t>
      </w:r>
      <w:r>
        <w:rPr>
          <w:spacing w:val="-4"/>
        </w:rPr>
        <w:t> </w:t>
      </w:r>
      <w:r>
        <w:rPr/>
        <w:t>find</w:t>
      </w:r>
      <w:r>
        <w:rPr>
          <w:spacing w:val="-4"/>
        </w:rPr>
        <w:t> </w:t>
      </w:r>
      <w:r>
        <w:rPr/>
        <w:t>that</w:t>
      </w:r>
      <w:r>
        <w:rPr>
          <w:spacing w:val="-4"/>
        </w:rPr>
        <w:t> </w:t>
      </w:r>
      <w:r>
        <w:rPr/>
        <w:t>three</w:t>
      </w:r>
      <w:r>
        <w:rPr>
          <w:spacing w:val="-4"/>
        </w:rPr>
        <w:t> </w:t>
      </w:r>
      <w:r>
        <w:rPr/>
        <w:t>out</w:t>
      </w:r>
      <w:r>
        <w:rPr>
          <w:spacing w:val="-4"/>
        </w:rPr>
        <w:t> </w:t>
      </w:r>
      <w:r>
        <w:rPr/>
        <w:t>of</w:t>
      </w:r>
      <w:r>
        <w:rPr>
          <w:spacing w:val="-4"/>
        </w:rPr>
        <w:t> </w:t>
      </w:r>
      <w:r>
        <w:rPr/>
        <w:t>four</w:t>
      </w:r>
      <w:r>
        <w:rPr>
          <w:spacing w:val="-4"/>
        </w:rPr>
        <w:t> </w:t>
      </w:r>
      <w:r>
        <w:rPr/>
        <w:t>measures</w:t>
      </w:r>
      <w:r>
        <w:rPr>
          <w:spacing w:val="-4"/>
        </w:rPr>
        <w:t> </w:t>
      </w:r>
      <w:r>
        <w:rPr/>
        <w:t>of</w:t>
      </w:r>
      <w:r>
        <w:rPr>
          <w:spacing w:val="-4"/>
        </w:rPr>
        <w:t> </w:t>
      </w:r>
      <w:r>
        <w:rPr/>
        <w:t>oil</w:t>
      </w:r>
      <w:r>
        <w:rPr>
          <w:spacing w:val="-4"/>
        </w:rPr>
        <w:t> </w:t>
      </w:r>
      <w:r>
        <w:rPr/>
        <w:t>prices</w:t>
      </w:r>
      <w:r>
        <w:rPr>
          <w:spacing w:val="-4"/>
        </w:rPr>
        <w:t> </w:t>
      </w:r>
      <w:r>
        <w:rPr/>
        <w:t>levels</w:t>
      </w:r>
      <w:r>
        <w:rPr>
          <w:spacing w:val="-4"/>
        </w:rPr>
        <w:t> </w:t>
      </w:r>
      <w:r>
        <w:rPr/>
        <w:t>were</w:t>
      </w:r>
      <w:r>
        <w:rPr>
          <w:spacing w:val="-4"/>
        </w:rPr>
        <w:t> </w:t>
      </w:r>
      <w:r>
        <w:rPr/>
        <w:t>significantly and negatively associated with the number of battle deaths in the state.</w:t>
      </w:r>
      <w:r>
        <w:rPr>
          <w:spacing w:val="22"/>
        </w:rPr>
        <w:t> </w:t>
      </w:r>
      <w:r>
        <w:rPr/>
        <w:t>An increase in the price of oil by</w:t>
      </w:r>
      <w:r>
        <w:rPr>
          <w:spacing w:val="-10"/>
        </w:rPr>
        <w:t> </w:t>
      </w:r>
      <w:r>
        <w:rPr/>
        <w:t>50</w:t>
      </w:r>
      <w:r>
        <w:rPr>
          <w:spacing w:val="-10"/>
        </w:rPr>
        <w:t> </w:t>
      </w:r>
      <w:r>
        <w:rPr/>
        <w:t>USD</w:t>
      </w:r>
      <w:r>
        <w:rPr>
          <w:spacing w:val="-10"/>
        </w:rPr>
        <w:t> </w:t>
      </w:r>
      <w:r>
        <w:rPr/>
        <w:t>was</w:t>
      </w:r>
      <w:r>
        <w:rPr>
          <w:spacing w:val="-10"/>
        </w:rPr>
        <w:t> </w:t>
      </w:r>
      <w:r>
        <w:rPr/>
        <w:t>associated</w:t>
      </w:r>
      <w:r>
        <w:rPr>
          <w:spacing w:val="-10"/>
        </w:rPr>
        <w:t> </w:t>
      </w:r>
      <w:r>
        <w:rPr/>
        <w:t>with</w:t>
      </w:r>
      <w:r>
        <w:rPr>
          <w:spacing w:val="-10"/>
        </w:rPr>
        <w:t> </w:t>
      </w:r>
      <w:r>
        <w:rPr/>
        <w:t>roughly</w:t>
      </w:r>
      <w:r>
        <w:rPr>
          <w:spacing w:val="-10"/>
        </w:rPr>
        <w:t> </w:t>
      </w:r>
      <w:r>
        <w:rPr/>
        <w:t>15</w:t>
      </w:r>
      <w:r>
        <w:rPr>
          <w:spacing w:val="-10"/>
        </w:rPr>
        <w:t> </w:t>
      </w:r>
      <w:r>
        <w:rPr/>
        <w:t>fewer</w:t>
      </w:r>
      <w:r>
        <w:rPr>
          <w:spacing w:val="-10"/>
        </w:rPr>
        <w:t> </w:t>
      </w:r>
      <w:r>
        <w:rPr/>
        <w:t>battle</w:t>
      </w:r>
      <w:r>
        <w:rPr>
          <w:spacing w:val="-10"/>
        </w:rPr>
        <w:t> </w:t>
      </w:r>
      <w:r>
        <w:rPr/>
        <w:t>deaths</w:t>
      </w:r>
      <w:r>
        <w:rPr>
          <w:spacing w:val="-10"/>
        </w:rPr>
        <w:t> </w:t>
      </w:r>
      <w:r>
        <w:rPr/>
        <w:t>per</w:t>
      </w:r>
      <w:r>
        <w:rPr>
          <w:spacing w:val="-10"/>
        </w:rPr>
        <w:t> </w:t>
      </w:r>
      <w:r>
        <w:rPr/>
        <w:t>year.</w:t>
      </w:r>
      <w:r>
        <w:rPr>
          <w:spacing w:val="11"/>
        </w:rPr>
        <w:t> </w:t>
      </w:r>
      <w:r>
        <w:rPr/>
        <w:t>While</w:t>
      </w:r>
      <w:r>
        <w:rPr>
          <w:spacing w:val="-10"/>
        </w:rPr>
        <w:t> </w:t>
      </w:r>
      <w:r>
        <w:rPr/>
        <w:t>this</w:t>
      </w:r>
      <w:r>
        <w:rPr>
          <w:spacing w:val="-10"/>
        </w:rPr>
        <w:t> </w:t>
      </w:r>
      <w:r>
        <w:rPr/>
        <w:t>figure</w:t>
      </w:r>
      <w:r>
        <w:rPr>
          <w:spacing w:val="-10"/>
        </w:rPr>
        <w:t> </w:t>
      </w:r>
      <w:r>
        <w:rPr/>
        <w:t>appears</w:t>
      </w:r>
      <w:r>
        <w:rPr>
          <w:spacing w:val="-10"/>
        </w:rPr>
        <w:t> </w:t>
      </w:r>
      <w:r>
        <w:rPr/>
        <w:t>rather small at first, it is more significant when we consider that roughly half of the conflicts in the dataset saw</w:t>
      </w:r>
      <w:r>
        <w:rPr>
          <w:spacing w:val="-8"/>
        </w:rPr>
        <w:t> </w:t>
      </w:r>
      <w:r>
        <w:rPr/>
        <w:t>100</w:t>
      </w:r>
      <w:r>
        <w:rPr>
          <w:spacing w:val="-8"/>
        </w:rPr>
        <w:t> </w:t>
      </w:r>
      <w:r>
        <w:rPr/>
        <w:t>or</w:t>
      </w:r>
      <w:r>
        <w:rPr>
          <w:spacing w:val="-8"/>
        </w:rPr>
        <w:t> </w:t>
      </w:r>
      <w:r>
        <w:rPr/>
        <w:t>fewer</w:t>
      </w:r>
      <w:r>
        <w:rPr>
          <w:spacing w:val="-8"/>
        </w:rPr>
        <w:t> </w:t>
      </w:r>
      <w:r>
        <w:rPr/>
        <w:t>battle</w:t>
      </w:r>
      <w:r>
        <w:rPr>
          <w:spacing w:val="-8"/>
        </w:rPr>
        <w:t> </w:t>
      </w:r>
      <w:r>
        <w:rPr/>
        <w:t>deaths</w:t>
      </w:r>
      <w:r>
        <w:rPr>
          <w:spacing w:val="-8"/>
        </w:rPr>
        <w:t> </w:t>
      </w:r>
      <w:r>
        <w:rPr/>
        <w:t>per</w:t>
      </w:r>
      <w:r>
        <w:rPr>
          <w:spacing w:val="-8"/>
        </w:rPr>
        <w:t> </w:t>
      </w:r>
      <w:r>
        <w:rPr/>
        <w:t>year.</w:t>
      </w:r>
      <w:r>
        <w:rPr>
          <w:spacing w:val="7"/>
        </w:rPr>
        <w:t> </w:t>
      </w:r>
      <w:r>
        <w:rPr/>
        <w:t>We</w:t>
      </w:r>
      <w:r>
        <w:rPr>
          <w:spacing w:val="-8"/>
        </w:rPr>
        <w:t> </w:t>
      </w:r>
      <w:r>
        <w:rPr/>
        <w:t>also</w:t>
      </w:r>
      <w:r>
        <w:rPr>
          <w:spacing w:val="-8"/>
        </w:rPr>
        <w:t> </w:t>
      </w:r>
      <w:r>
        <w:rPr/>
        <w:t>tested</w:t>
      </w:r>
      <w:r>
        <w:rPr>
          <w:spacing w:val="-8"/>
        </w:rPr>
        <w:t> </w:t>
      </w:r>
      <w:r>
        <w:rPr/>
        <w:t>measures</w:t>
      </w:r>
      <w:r>
        <w:rPr>
          <w:spacing w:val="-8"/>
        </w:rPr>
        <w:t> </w:t>
      </w:r>
      <w:r>
        <w:rPr/>
        <w:t>of</w:t>
      </w:r>
      <w:r>
        <w:rPr>
          <w:spacing w:val="-8"/>
        </w:rPr>
        <w:t> </w:t>
      </w:r>
      <w:r>
        <w:rPr/>
        <w:t>the</w:t>
      </w:r>
      <w:r>
        <w:rPr>
          <w:spacing w:val="-8"/>
        </w:rPr>
        <w:t> </w:t>
      </w:r>
      <w:r>
        <w:rPr/>
        <w:t>percentage</w:t>
      </w:r>
      <w:r>
        <w:rPr>
          <w:spacing w:val="-8"/>
        </w:rPr>
        <w:t> </w:t>
      </w:r>
      <w:r>
        <w:rPr/>
        <w:t>change</w:t>
      </w:r>
      <w:r>
        <w:rPr>
          <w:spacing w:val="-8"/>
        </w:rPr>
        <w:t> </w:t>
      </w:r>
      <w:r>
        <w:rPr/>
        <w:t>in</w:t>
      </w:r>
      <w:r>
        <w:rPr>
          <w:spacing w:val="-8"/>
        </w:rPr>
        <w:t> </w:t>
      </w:r>
      <w:r>
        <w:rPr/>
        <w:t>oil</w:t>
      </w:r>
      <w:r>
        <w:rPr>
          <w:spacing w:val="-8"/>
        </w:rPr>
        <w:t> </w:t>
      </w:r>
      <w:r>
        <w:rPr/>
        <w:t>prices. Positive changes in both the current and prior period were associated with fewer battle deaths. A 10% increase</w:t>
      </w:r>
      <w:r>
        <w:rPr>
          <w:spacing w:val="-4"/>
        </w:rPr>
        <w:t> </w:t>
      </w:r>
      <w:r>
        <w:rPr/>
        <w:t>in</w:t>
      </w:r>
      <w:r>
        <w:rPr>
          <w:spacing w:val="-4"/>
        </w:rPr>
        <w:t> </w:t>
      </w:r>
      <w:r>
        <w:rPr/>
        <w:t>price</w:t>
      </w:r>
      <w:r>
        <w:rPr>
          <w:spacing w:val="-4"/>
        </w:rPr>
        <w:t> </w:t>
      </w:r>
      <w:r>
        <w:rPr/>
        <w:t>in</w:t>
      </w:r>
      <w:r>
        <w:rPr>
          <w:spacing w:val="-4"/>
        </w:rPr>
        <w:t> </w:t>
      </w:r>
      <w:r>
        <w:rPr/>
        <w:t>the</w:t>
      </w:r>
      <w:r>
        <w:rPr>
          <w:spacing w:val="-4"/>
        </w:rPr>
        <w:t> </w:t>
      </w:r>
      <w:r>
        <w:rPr/>
        <w:t>current</w:t>
      </w:r>
      <w:r>
        <w:rPr>
          <w:spacing w:val="-4"/>
        </w:rPr>
        <w:t> </w:t>
      </w:r>
      <w:r>
        <w:rPr/>
        <w:t>or</w:t>
      </w:r>
      <w:r>
        <w:rPr>
          <w:spacing w:val="-4"/>
        </w:rPr>
        <w:t> </w:t>
      </w:r>
      <w:r>
        <w:rPr/>
        <w:t>prior</w:t>
      </w:r>
      <w:r>
        <w:rPr>
          <w:spacing w:val="-4"/>
        </w:rPr>
        <w:t> </w:t>
      </w:r>
      <w:r>
        <w:rPr/>
        <w:t>period</w:t>
      </w:r>
      <w:r>
        <w:rPr>
          <w:spacing w:val="-4"/>
        </w:rPr>
        <w:t> </w:t>
      </w:r>
      <w:r>
        <w:rPr/>
        <w:t>was</w:t>
      </w:r>
      <w:r>
        <w:rPr>
          <w:spacing w:val="-4"/>
        </w:rPr>
        <w:t> </w:t>
      </w:r>
      <w:r>
        <w:rPr/>
        <w:t>associated</w:t>
      </w:r>
      <w:r>
        <w:rPr>
          <w:spacing w:val="-4"/>
        </w:rPr>
        <w:t> </w:t>
      </w:r>
      <w:r>
        <w:rPr/>
        <w:t>with</w:t>
      </w:r>
      <w:r>
        <w:rPr>
          <w:spacing w:val="-4"/>
        </w:rPr>
        <w:t> </w:t>
      </w:r>
      <w:r>
        <w:rPr/>
        <w:t>a</w:t>
      </w:r>
      <w:r>
        <w:rPr>
          <w:spacing w:val="-4"/>
        </w:rPr>
        <w:t> </w:t>
      </w:r>
      <w:r>
        <w:rPr/>
        <w:t>decrease</w:t>
      </w:r>
      <w:r>
        <w:rPr>
          <w:spacing w:val="-4"/>
        </w:rPr>
        <w:t> </w:t>
      </w:r>
      <w:r>
        <w:rPr/>
        <w:t>in</w:t>
      </w:r>
      <w:r>
        <w:rPr>
          <w:spacing w:val="-4"/>
        </w:rPr>
        <w:t> </w:t>
      </w:r>
      <w:r>
        <w:rPr/>
        <w:t>yearly</w:t>
      </w:r>
      <w:r>
        <w:rPr>
          <w:spacing w:val="-4"/>
        </w:rPr>
        <w:t> </w:t>
      </w:r>
      <w:r>
        <w:rPr/>
        <w:t>battle</w:t>
      </w:r>
      <w:r>
        <w:rPr>
          <w:spacing w:val="-4"/>
        </w:rPr>
        <w:t> </w:t>
      </w:r>
      <w:r>
        <w:rPr/>
        <w:t>deaths</w:t>
      </w:r>
      <w:r>
        <w:rPr>
          <w:spacing w:val="-4"/>
        </w:rPr>
        <w:t> </w:t>
      </w:r>
      <w:r>
        <w:rPr/>
        <w:t>of over 100.</w:t>
      </w:r>
    </w:p>
    <w:p>
      <w:pPr>
        <w:pStyle w:val="BodyText"/>
        <w:spacing w:line="20" w:lineRule="exact"/>
        <w:ind w:left="117"/>
        <w:rPr>
          <w:sz w:val="2"/>
        </w:rPr>
      </w:pPr>
      <w:r>
        <w:rPr>
          <w:sz w:val="2"/>
        </w:rPr>
        <w:pict>
          <v:group style="width:179.75pt;height:.4pt;mso-position-horizontal-relative:char;mso-position-vertical-relative:line" id="docshapegroup12" coordorigin="0,0" coordsize="3595,8">
            <v:line style="position:absolute" from="0,4" to="3595,4" stroked="true" strokeweight=".398pt" strokecolor="#000000">
              <v:stroke dashstyle="solid"/>
            </v:line>
          </v:group>
        </w:pict>
      </w:r>
      <w:r>
        <w:rPr>
          <w:sz w:val="2"/>
        </w:rPr>
      </w:r>
    </w:p>
    <w:p>
      <w:pPr>
        <w:spacing w:before="18"/>
        <w:ind w:left="117" w:right="599" w:firstLine="148"/>
        <w:jc w:val="left"/>
        <w:rPr>
          <w:rFonts w:ascii="Bookman Old Style"/>
          <w:b w:val="0"/>
          <w:sz w:val="16"/>
        </w:rPr>
      </w:pPr>
      <w:r>
        <w:rPr>
          <w:rFonts w:ascii="Bookman Old Style"/>
          <w:b w:val="0"/>
          <w:sz w:val="16"/>
          <w:vertAlign w:val="superscript"/>
        </w:rPr>
        <w:t>55</w:t>
      </w:r>
      <w:r>
        <w:rPr>
          <w:rFonts w:ascii="Bookman Old Style"/>
          <w:b w:val="0"/>
          <w:sz w:val="16"/>
          <w:vertAlign w:val="baseline"/>
        </w:rPr>
        <w:t>Fixed</w:t>
      </w:r>
      <w:r>
        <w:rPr>
          <w:rFonts w:ascii="Bookman Old Style"/>
          <w:b w:val="0"/>
          <w:spacing w:val="-6"/>
          <w:sz w:val="16"/>
          <w:vertAlign w:val="baseline"/>
        </w:rPr>
        <w:t> </w:t>
      </w:r>
      <w:r>
        <w:rPr>
          <w:rFonts w:ascii="Bookman Old Style"/>
          <w:b w:val="0"/>
          <w:sz w:val="16"/>
          <w:vertAlign w:val="baseline"/>
        </w:rPr>
        <w:t>effects</w:t>
      </w:r>
      <w:r>
        <w:rPr>
          <w:rFonts w:ascii="Bookman Old Style"/>
          <w:b w:val="0"/>
          <w:spacing w:val="-6"/>
          <w:sz w:val="16"/>
          <w:vertAlign w:val="baseline"/>
        </w:rPr>
        <w:t> </w:t>
      </w:r>
      <w:r>
        <w:rPr>
          <w:rFonts w:ascii="Bookman Old Style"/>
          <w:b w:val="0"/>
          <w:sz w:val="16"/>
          <w:vertAlign w:val="baseline"/>
        </w:rPr>
        <w:t>for</w:t>
      </w:r>
      <w:r>
        <w:rPr>
          <w:rFonts w:ascii="Bookman Old Style"/>
          <w:b w:val="0"/>
          <w:spacing w:val="-6"/>
          <w:sz w:val="16"/>
          <w:vertAlign w:val="baseline"/>
        </w:rPr>
        <w:t> </w:t>
      </w:r>
      <w:r>
        <w:rPr>
          <w:rFonts w:ascii="Bookman Old Style"/>
          <w:b w:val="0"/>
          <w:sz w:val="16"/>
          <w:vertAlign w:val="baseline"/>
        </w:rPr>
        <w:t>time</w:t>
      </w:r>
      <w:r>
        <w:rPr>
          <w:rFonts w:ascii="Bookman Old Style"/>
          <w:b w:val="0"/>
          <w:spacing w:val="-7"/>
          <w:sz w:val="16"/>
          <w:vertAlign w:val="baseline"/>
        </w:rPr>
        <w:t> </w:t>
      </w:r>
      <w:r>
        <w:rPr>
          <w:rFonts w:ascii="Bookman Old Style"/>
          <w:b w:val="0"/>
          <w:sz w:val="16"/>
          <w:vertAlign w:val="baseline"/>
        </w:rPr>
        <w:t>were</w:t>
      </w:r>
      <w:r>
        <w:rPr>
          <w:rFonts w:ascii="Bookman Old Style"/>
          <w:b w:val="0"/>
          <w:spacing w:val="-6"/>
          <w:sz w:val="16"/>
          <w:vertAlign w:val="baseline"/>
        </w:rPr>
        <w:t> </w:t>
      </w:r>
      <w:r>
        <w:rPr>
          <w:rFonts w:ascii="Bookman Old Style"/>
          <w:b w:val="0"/>
          <w:sz w:val="16"/>
          <w:vertAlign w:val="baseline"/>
        </w:rPr>
        <w:t>not</w:t>
      </w:r>
      <w:r>
        <w:rPr>
          <w:rFonts w:ascii="Bookman Old Style"/>
          <w:b w:val="0"/>
          <w:spacing w:val="-6"/>
          <w:sz w:val="16"/>
          <w:vertAlign w:val="baseline"/>
        </w:rPr>
        <w:t> </w:t>
      </w:r>
      <w:r>
        <w:rPr>
          <w:rFonts w:ascii="Bookman Old Style"/>
          <w:b w:val="0"/>
          <w:sz w:val="16"/>
          <w:vertAlign w:val="baseline"/>
        </w:rPr>
        <w:t>included</w:t>
      </w:r>
      <w:r>
        <w:rPr>
          <w:rFonts w:ascii="Bookman Old Style"/>
          <w:b w:val="0"/>
          <w:spacing w:val="-7"/>
          <w:sz w:val="16"/>
          <w:vertAlign w:val="baseline"/>
        </w:rPr>
        <w:t> </w:t>
      </w:r>
      <w:r>
        <w:rPr>
          <w:rFonts w:ascii="Bookman Old Style"/>
          <w:b w:val="0"/>
          <w:sz w:val="16"/>
          <w:vertAlign w:val="baseline"/>
        </w:rPr>
        <w:t>in</w:t>
      </w:r>
      <w:r>
        <w:rPr>
          <w:rFonts w:ascii="Bookman Old Style"/>
          <w:b w:val="0"/>
          <w:spacing w:val="-7"/>
          <w:sz w:val="16"/>
          <w:vertAlign w:val="baseline"/>
        </w:rPr>
        <w:t> </w:t>
      </w:r>
      <w:r>
        <w:rPr>
          <w:rFonts w:ascii="Bookman Old Style"/>
          <w:b w:val="0"/>
          <w:sz w:val="16"/>
          <w:vertAlign w:val="baseline"/>
        </w:rPr>
        <w:t>this</w:t>
      </w:r>
      <w:r>
        <w:rPr>
          <w:rFonts w:ascii="Bookman Old Style"/>
          <w:b w:val="0"/>
          <w:spacing w:val="-6"/>
          <w:sz w:val="16"/>
          <w:vertAlign w:val="baseline"/>
        </w:rPr>
        <w:t> </w:t>
      </w:r>
      <w:r>
        <w:rPr>
          <w:rFonts w:ascii="Bookman Old Style"/>
          <w:b w:val="0"/>
          <w:sz w:val="16"/>
          <w:vertAlign w:val="baseline"/>
        </w:rPr>
        <w:t>model</w:t>
      </w:r>
      <w:r>
        <w:rPr>
          <w:rFonts w:ascii="Bookman Old Style"/>
          <w:b w:val="0"/>
          <w:spacing w:val="-6"/>
          <w:sz w:val="16"/>
          <w:vertAlign w:val="baseline"/>
        </w:rPr>
        <w:t> </w:t>
      </w:r>
      <w:r>
        <w:rPr>
          <w:rFonts w:ascii="Bookman Old Style"/>
          <w:b w:val="0"/>
          <w:sz w:val="16"/>
          <w:vertAlign w:val="baseline"/>
        </w:rPr>
        <w:t>due</w:t>
      </w:r>
      <w:r>
        <w:rPr>
          <w:rFonts w:ascii="Bookman Old Style"/>
          <w:b w:val="0"/>
          <w:spacing w:val="-7"/>
          <w:sz w:val="16"/>
          <w:vertAlign w:val="baseline"/>
        </w:rPr>
        <w:t> </w:t>
      </w:r>
      <w:r>
        <w:rPr>
          <w:rFonts w:ascii="Bookman Old Style"/>
          <w:b w:val="0"/>
          <w:sz w:val="16"/>
          <w:vertAlign w:val="baseline"/>
        </w:rPr>
        <w:t>to</w:t>
      </w:r>
      <w:r>
        <w:rPr>
          <w:rFonts w:ascii="Bookman Old Style"/>
          <w:b w:val="0"/>
          <w:spacing w:val="-6"/>
          <w:sz w:val="16"/>
          <w:vertAlign w:val="baseline"/>
        </w:rPr>
        <w:t> </w:t>
      </w:r>
      <w:r>
        <w:rPr>
          <w:rFonts w:ascii="Bookman Old Style"/>
          <w:b w:val="0"/>
          <w:sz w:val="16"/>
          <w:vertAlign w:val="baseline"/>
        </w:rPr>
        <w:t>poor</w:t>
      </w:r>
      <w:r>
        <w:rPr>
          <w:rFonts w:ascii="Bookman Old Style"/>
          <w:b w:val="0"/>
          <w:spacing w:val="-6"/>
          <w:sz w:val="16"/>
          <w:vertAlign w:val="baseline"/>
        </w:rPr>
        <w:t> </w:t>
      </w:r>
      <w:r>
        <w:rPr>
          <w:rFonts w:ascii="Bookman Old Style"/>
          <w:b w:val="0"/>
          <w:sz w:val="16"/>
          <w:vertAlign w:val="baseline"/>
        </w:rPr>
        <w:t>model</w:t>
      </w:r>
      <w:r>
        <w:rPr>
          <w:rFonts w:ascii="Bookman Old Style"/>
          <w:b w:val="0"/>
          <w:spacing w:val="-7"/>
          <w:sz w:val="16"/>
          <w:vertAlign w:val="baseline"/>
        </w:rPr>
        <w:t> </w:t>
      </w:r>
      <w:r>
        <w:rPr>
          <w:rFonts w:ascii="Bookman Old Style"/>
          <w:b w:val="0"/>
          <w:sz w:val="16"/>
          <w:vertAlign w:val="baseline"/>
        </w:rPr>
        <w:t>fit.</w:t>
      </w:r>
      <w:r>
        <w:rPr>
          <w:rFonts w:ascii="Bookman Old Style"/>
          <w:b w:val="0"/>
          <w:spacing w:val="19"/>
          <w:sz w:val="16"/>
          <w:vertAlign w:val="baseline"/>
        </w:rPr>
        <w:t> </w:t>
      </w:r>
      <w:r>
        <w:rPr>
          <w:rFonts w:ascii="Bookman Old Style"/>
          <w:b w:val="0"/>
          <w:sz w:val="16"/>
          <w:vertAlign w:val="baseline"/>
        </w:rPr>
        <w:t>Fixed</w:t>
      </w:r>
      <w:r>
        <w:rPr>
          <w:rFonts w:ascii="Bookman Old Style"/>
          <w:b w:val="0"/>
          <w:spacing w:val="-6"/>
          <w:sz w:val="16"/>
          <w:vertAlign w:val="baseline"/>
        </w:rPr>
        <w:t> </w:t>
      </w:r>
      <w:r>
        <w:rPr>
          <w:rFonts w:ascii="Bookman Old Style"/>
          <w:b w:val="0"/>
          <w:sz w:val="16"/>
          <w:vertAlign w:val="baseline"/>
        </w:rPr>
        <w:t>effects</w:t>
      </w:r>
      <w:r>
        <w:rPr>
          <w:rFonts w:ascii="Bookman Old Style"/>
          <w:b w:val="0"/>
          <w:spacing w:val="-7"/>
          <w:sz w:val="16"/>
          <w:vertAlign w:val="baseline"/>
        </w:rPr>
        <w:t> </w:t>
      </w:r>
      <w:r>
        <w:rPr>
          <w:rFonts w:ascii="Bookman Old Style"/>
          <w:b w:val="0"/>
          <w:sz w:val="16"/>
          <w:vertAlign w:val="baseline"/>
        </w:rPr>
        <w:t>for</w:t>
      </w:r>
      <w:r>
        <w:rPr>
          <w:rFonts w:ascii="Bookman Old Style"/>
          <w:b w:val="0"/>
          <w:spacing w:val="-6"/>
          <w:sz w:val="16"/>
          <w:vertAlign w:val="baseline"/>
        </w:rPr>
        <w:t> </w:t>
      </w:r>
      <w:r>
        <w:rPr>
          <w:rFonts w:ascii="Bookman Old Style"/>
          <w:b w:val="0"/>
          <w:sz w:val="16"/>
          <w:vertAlign w:val="baseline"/>
        </w:rPr>
        <w:t>time</w:t>
      </w:r>
      <w:r>
        <w:rPr>
          <w:rFonts w:ascii="Bookman Old Style"/>
          <w:b w:val="0"/>
          <w:spacing w:val="-6"/>
          <w:sz w:val="16"/>
          <w:vertAlign w:val="baseline"/>
        </w:rPr>
        <w:t> </w:t>
      </w:r>
      <w:r>
        <w:rPr>
          <w:rFonts w:ascii="Bookman Old Style"/>
          <w:b w:val="0"/>
          <w:sz w:val="16"/>
          <w:vertAlign w:val="baseline"/>
        </w:rPr>
        <w:t>are</w:t>
      </w:r>
      <w:r>
        <w:rPr>
          <w:rFonts w:ascii="Bookman Old Style"/>
          <w:b w:val="0"/>
          <w:spacing w:val="-6"/>
          <w:sz w:val="16"/>
          <w:vertAlign w:val="baseline"/>
        </w:rPr>
        <w:t> </w:t>
      </w:r>
      <w:r>
        <w:rPr>
          <w:rFonts w:ascii="Bookman Old Style"/>
          <w:b w:val="0"/>
          <w:sz w:val="16"/>
          <w:vertAlign w:val="baseline"/>
        </w:rPr>
        <w:t>used</w:t>
      </w:r>
      <w:r>
        <w:rPr>
          <w:rFonts w:ascii="Bookman Old Style"/>
          <w:b w:val="0"/>
          <w:spacing w:val="-6"/>
          <w:sz w:val="16"/>
          <w:vertAlign w:val="baseline"/>
        </w:rPr>
        <w:t> </w:t>
      </w:r>
      <w:r>
        <w:rPr>
          <w:rFonts w:ascii="Bookman Old Style"/>
          <w:b w:val="0"/>
          <w:sz w:val="16"/>
          <w:vertAlign w:val="baseline"/>
        </w:rPr>
        <w:t>in</w:t>
      </w:r>
      <w:r>
        <w:rPr>
          <w:rFonts w:ascii="Bookman Old Style"/>
          <w:b w:val="0"/>
          <w:spacing w:val="-6"/>
          <w:sz w:val="16"/>
          <w:vertAlign w:val="baseline"/>
        </w:rPr>
        <w:t> </w:t>
      </w:r>
      <w:r>
        <w:rPr>
          <w:rFonts w:ascii="Bookman Old Style"/>
          <w:b w:val="0"/>
          <w:sz w:val="16"/>
          <w:vertAlign w:val="baseline"/>
        </w:rPr>
        <w:t>the </w:t>
      </w:r>
      <w:r>
        <w:rPr>
          <w:rFonts w:ascii="Bookman Old Style"/>
          <w:b w:val="0"/>
          <w:spacing w:val="-4"/>
          <w:sz w:val="16"/>
          <w:vertAlign w:val="baseline"/>
        </w:rPr>
        <w:t>interactive effects regressions presented later in this section and tested for all subsequent regressions.</w:t>
      </w:r>
    </w:p>
    <w:p>
      <w:pPr>
        <w:spacing w:after="0"/>
        <w:jc w:val="left"/>
        <w:rPr>
          <w:rFonts w:ascii="Bookman Old Style"/>
          <w:sz w:val="16"/>
        </w:rPr>
        <w:sectPr>
          <w:pgSz w:w="12240" w:h="15840"/>
          <w:pgMar w:header="0" w:footer="1252" w:top="1040" w:bottom="1440" w:left="1300" w:right="1200"/>
        </w:sect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spacing w:before="10"/>
        <w:rPr>
          <w:rFonts w:ascii="Bookman Old Style"/>
          <w:b w:val="0"/>
          <w:sz w:val="28"/>
        </w:rPr>
      </w:pPr>
    </w:p>
    <w:p>
      <w:pPr>
        <w:pStyle w:val="BodyText"/>
        <w:spacing w:before="66"/>
        <w:ind w:left="1495"/>
      </w:pPr>
      <w:r>
        <w:rPr/>
        <w:t>Table</w:t>
      </w:r>
      <w:r>
        <w:rPr>
          <w:spacing w:val="7"/>
        </w:rPr>
        <w:t> </w:t>
      </w:r>
      <w:r>
        <w:rPr/>
        <w:t>1:</w:t>
      </w:r>
      <w:r>
        <w:rPr>
          <w:spacing w:val="24"/>
        </w:rPr>
        <w:t> </w:t>
      </w:r>
      <w:r>
        <w:rPr/>
        <w:t>Oil</w:t>
      </w:r>
      <w:r>
        <w:rPr>
          <w:spacing w:val="7"/>
        </w:rPr>
        <w:t> </w:t>
      </w:r>
      <w:r>
        <w:rPr/>
        <w:t>Prices</w:t>
      </w:r>
      <w:r>
        <w:rPr>
          <w:spacing w:val="7"/>
        </w:rPr>
        <w:t> </w:t>
      </w:r>
      <w:r>
        <w:rPr/>
        <w:t>and</w:t>
      </w:r>
      <w:r>
        <w:rPr>
          <w:spacing w:val="7"/>
        </w:rPr>
        <w:t> </w:t>
      </w:r>
      <w:r>
        <w:rPr/>
        <w:t>Conflict</w:t>
      </w:r>
      <w:r>
        <w:rPr>
          <w:spacing w:val="8"/>
        </w:rPr>
        <w:t> </w:t>
      </w:r>
      <w:r>
        <w:rPr/>
        <w:t>Intensity</w:t>
      </w:r>
      <w:r>
        <w:rPr>
          <w:spacing w:val="7"/>
        </w:rPr>
        <w:t> </w:t>
      </w:r>
      <w:r>
        <w:rPr/>
        <w:t>in</w:t>
      </w:r>
      <w:r>
        <w:rPr>
          <w:spacing w:val="7"/>
        </w:rPr>
        <w:t> </w:t>
      </w:r>
      <w:r>
        <w:rPr/>
        <w:t>Oil</w:t>
      </w:r>
      <w:r>
        <w:rPr>
          <w:spacing w:val="7"/>
        </w:rPr>
        <w:t> </w:t>
      </w:r>
      <w:r>
        <w:rPr/>
        <w:t>Reliant</w:t>
      </w:r>
      <w:r>
        <w:rPr>
          <w:spacing w:val="7"/>
        </w:rPr>
        <w:t> </w:t>
      </w:r>
      <w:r>
        <w:rPr/>
        <w:t>Conflict</w:t>
      </w:r>
      <w:r>
        <w:rPr>
          <w:spacing w:val="7"/>
        </w:rPr>
        <w:t> </w:t>
      </w:r>
      <w:r>
        <w:rPr>
          <w:spacing w:val="-2"/>
        </w:rPr>
        <w:t>States</w:t>
      </w:r>
    </w:p>
    <w:p>
      <w:pPr>
        <w:pStyle w:val="BodyText"/>
        <w:spacing w:before="3"/>
        <w:rPr>
          <w:sz w:val="25"/>
        </w:rPr>
      </w:pPr>
      <w:r>
        <w:rPr/>
        <w:pict>
          <v:group style="position:absolute;margin-left:70.865997pt;margin-top:15.598976pt;width:391.4pt;height:2.4pt;mso-position-horizontal-relative:page;mso-position-vertical-relative:paragraph;z-index:-15723520;mso-wrap-distance-left:0;mso-wrap-distance-right:0" id="docshapegroup13" coordorigin="1417,312" coordsize="7828,48">
            <v:line style="position:absolute" from="1417,316" to="9245,316" stroked="true" strokeweight=".398pt" strokecolor="#000000">
              <v:stroke dashstyle="solid"/>
            </v:line>
            <v:line style="position:absolute" from="1417,356" to="9245,356" stroked="true" strokeweight=".398pt" strokecolor="#000000">
              <v:stroke dashstyle="solid"/>
            </v:line>
            <w10:wrap type="topAndBottom"/>
          </v:group>
        </w:pict>
      </w:r>
    </w:p>
    <w:p>
      <w:pPr>
        <w:spacing w:before="63" w:after="30"/>
        <w:ind w:left="1285" w:right="638" w:firstLine="0"/>
        <w:jc w:val="center"/>
        <w:rPr>
          <w:rFonts w:ascii="Bookman Old Style"/>
          <w:b w:val="0"/>
          <w:i/>
          <w:sz w:val="20"/>
        </w:rPr>
      </w:pPr>
      <w:r>
        <w:rPr>
          <w:rFonts w:ascii="Bookman Old Style"/>
          <w:b w:val="0"/>
          <w:i/>
          <w:spacing w:val="-2"/>
          <w:w w:val="90"/>
          <w:sz w:val="20"/>
        </w:rPr>
        <w:t>Dependent</w:t>
      </w:r>
      <w:r>
        <w:rPr>
          <w:rFonts w:ascii="Bookman Old Style"/>
          <w:b w:val="0"/>
          <w:i/>
          <w:spacing w:val="1"/>
          <w:sz w:val="20"/>
        </w:rPr>
        <w:t> </w:t>
      </w:r>
      <w:r>
        <w:rPr>
          <w:rFonts w:ascii="Bookman Old Style"/>
          <w:b w:val="0"/>
          <w:i/>
          <w:spacing w:val="-2"/>
          <w:sz w:val="20"/>
        </w:rPr>
        <w:t>variable:</w:t>
      </w:r>
    </w:p>
    <w:p>
      <w:pPr>
        <w:pStyle w:val="BodyText"/>
        <w:spacing w:line="20" w:lineRule="exact"/>
        <w:ind w:left="2454"/>
        <w:rPr>
          <w:rFonts w:ascii="Bookman Old Style"/>
          <w:sz w:val="2"/>
        </w:rPr>
      </w:pPr>
      <w:r>
        <w:rPr>
          <w:rFonts w:ascii="Bookman Old Style"/>
          <w:sz w:val="2"/>
        </w:rPr>
        <w:pict>
          <v:group style="width:274.55pt;height:.4pt;mso-position-horizontal-relative:char;mso-position-vertical-relative:line" id="docshapegroup14" coordorigin="0,0" coordsize="5491,8">
            <v:line style="position:absolute" from="0,4" to="5491,4" stroked="true" strokeweight=".398pt" strokecolor="#000000">
              <v:stroke dashstyle="solid"/>
            </v:line>
          </v:group>
        </w:pict>
      </w:r>
      <w:r>
        <w:rPr>
          <w:rFonts w:ascii="Bookman Old Style"/>
          <w:sz w:val="2"/>
        </w:rPr>
      </w:r>
    </w:p>
    <w:p>
      <w:pPr>
        <w:pStyle w:val="BodyText"/>
        <w:spacing w:before="44"/>
        <w:ind w:left="1297" w:right="638"/>
        <w:jc w:val="center"/>
      </w:pPr>
      <w:r>
        <w:rPr/>
        <w:t>Battle</w:t>
      </w:r>
      <w:r>
        <w:rPr>
          <w:spacing w:val="11"/>
        </w:rPr>
        <w:t> </w:t>
      </w:r>
      <w:r>
        <w:rPr/>
        <w:t>deaths</w:t>
      </w:r>
      <w:r>
        <w:rPr>
          <w:spacing w:val="12"/>
        </w:rPr>
        <w:t> </w:t>
      </w:r>
      <w:r>
        <w:rPr>
          <w:spacing w:val="-2"/>
        </w:rPr>
        <w:t>(yearly)</w:t>
      </w:r>
    </w:p>
    <w:p>
      <w:pPr>
        <w:pStyle w:val="BodyText"/>
        <w:spacing w:before="6"/>
        <w:rPr>
          <w:sz w:val="11"/>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0"/>
        <w:gridCol w:w="1614"/>
        <w:gridCol w:w="1322"/>
        <w:gridCol w:w="1474"/>
        <w:gridCol w:w="1431"/>
      </w:tblGrid>
      <w:tr>
        <w:trPr>
          <w:trHeight w:val="220" w:hRule="atLeast"/>
        </w:trPr>
        <w:tc>
          <w:tcPr>
            <w:tcW w:w="1990" w:type="dxa"/>
            <w:tcBorders>
              <w:bottom w:val="single" w:sz="4" w:space="0" w:color="000000"/>
            </w:tcBorders>
          </w:tcPr>
          <w:p>
            <w:pPr>
              <w:pStyle w:val="TableParagraph"/>
              <w:jc w:val="left"/>
              <w:rPr>
                <w:rFonts w:ascii="Times New Roman"/>
                <w:sz w:val="14"/>
              </w:rPr>
            </w:pPr>
          </w:p>
        </w:tc>
        <w:tc>
          <w:tcPr>
            <w:tcW w:w="1614" w:type="dxa"/>
            <w:tcBorders>
              <w:bottom w:val="single" w:sz="4" w:space="0" w:color="000000"/>
            </w:tcBorders>
          </w:tcPr>
          <w:p>
            <w:pPr>
              <w:pStyle w:val="TableParagraph"/>
              <w:spacing w:line="193" w:lineRule="exact"/>
              <w:ind w:left="830"/>
              <w:jc w:val="left"/>
              <w:rPr>
                <w:sz w:val="20"/>
              </w:rPr>
            </w:pPr>
            <w:r>
              <w:rPr>
                <w:spacing w:val="-5"/>
                <w:w w:val="105"/>
                <w:sz w:val="20"/>
              </w:rPr>
              <w:t>(1)</w:t>
            </w:r>
          </w:p>
        </w:tc>
        <w:tc>
          <w:tcPr>
            <w:tcW w:w="1322" w:type="dxa"/>
            <w:tcBorders>
              <w:bottom w:val="single" w:sz="4" w:space="0" w:color="000000"/>
            </w:tcBorders>
          </w:tcPr>
          <w:p>
            <w:pPr>
              <w:pStyle w:val="TableParagraph"/>
              <w:spacing w:line="193" w:lineRule="exact"/>
              <w:ind w:left="107" w:right="102"/>
              <w:rPr>
                <w:sz w:val="20"/>
              </w:rPr>
            </w:pPr>
            <w:r>
              <w:rPr>
                <w:spacing w:val="-5"/>
                <w:sz w:val="20"/>
              </w:rPr>
              <w:t>(2)</w:t>
            </w:r>
          </w:p>
        </w:tc>
        <w:tc>
          <w:tcPr>
            <w:tcW w:w="1474" w:type="dxa"/>
            <w:tcBorders>
              <w:bottom w:val="single" w:sz="4" w:space="0" w:color="000000"/>
            </w:tcBorders>
          </w:tcPr>
          <w:p>
            <w:pPr>
              <w:pStyle w:val="TableParagraph"/>
              <w:spacing w:line="193" w:lineRule="exact"/>
              <w:ind w:left="145" w:right="140"/>
              <w:rPr>
                <w:sz w:val="20"/>
              </w:rPr>
            </w:pPr>
            <w:r>
              <w:rPr>
                <w:spacing w:val="-5"/>
                <w:sz w:val="20"/>
              </w:rPr>
              <w:t>(3)</w:t>
            </w:r>
          </w:p>
        </w:tc>
        <w:tc>
          <w:tcPr>
            <w:tcW w:w="1431" w:type="dxa"/>
            <w:tcBorders>
              <w:bottom w:val="single" w:sz="4" w:space="0" w:color="000000"/>
            </w:tcBorders>
          </w:tcPr>
          <w:p>
            <w:pPr>
              <w:pStyle w:val="TableParagraph"/>
              <w:spacing w:line="193" w:lineRule="exact"/>
              <w:ind w:left="132" w:right="82"/>
              <w:rPr>
                <w:sz w:val="20"/>
              </w:rPr>
            </w:pPr>
            <w:r>
              <w:rPr>
                <w:spacing w:val="-5"/>
                <w:sz w:val="20"/>
              </w:rPr>
              <w:t>(4)</w:t>
            </w:r>
          </w:p>
        </w:tc>
      </w:tr>
      <w:tr>
        <w:trPr>
          <w:trHeight w:val="675" w:hRule="atLeast"/>
        </w:trPr>
        <w:tc>
          <w:tcPr>
            <w:tcW w:w="1990" w:type="dxa"/>
            <w:tcBorders>
              <w:top w:val="single" w:sz="4" w:space="0" w:color="000000"/>
            </w:tcBorders>
          </w:tcPr>
          <w:p>
            <w:pPr>
              <w:pStyle w:val="TableParagraph"/>
              <w:spacing w:before="67"/>
              <w:jc w:val="left"/>
              <w:rPr>
                <w:sz w:val="20"/>
              </w:rPr>
            </w:pPr>
            <w:r>
              <w:rPr>
                <w:w w:val="105"/>
                <w:sz w:val="20"/>
              </w:rPr>
              <w:t>WTI</w:t>
            </w:r>
            <w:r>
              <w:rPr>
                <w:spacing w:val="15"/>
                <w:w w:val="105"/>
                <w:sz w:val="20"/>
              </w:rPr>
              <w:t> </w:t>
            </w:r>
            <w:r>
              <w:rPr>
                <w:spacing w:val="-4"/>
                <w:w w:val="105"/>
                <w:sz w:val="20"/>
              </w:rPr>
              <w:t>P(t)</w:t>
            </w:r>
          </w:p>
        </w:tc>
        <w:tc>
          <w:tcPr>
            <w:tcW w:w="1614" w:type="dxa"/>
            <w:tcBorders>
              <w:top w:val="single" w:sz="4" w:space="0" w:color="000000"/>
            </w:tcBorders>
          </w:tcPr>
          <w:p>
            <w:pPr>
              <w:pStyle w:val="TableParagraph"/>
              <w:spacing w:line="291" w:lineRule="exact" w:before="31"/>
              <w:ind w:left="429" w:right="138"/>
              <w:rPr>
                <w:rFonts w:ascii="Lucida Sans Unicode" w:hAnsi="Lucida Sans Unicode"/>
                <w:sz w:val="20"/>
              </w:rPr>
            </w:pPr>
            <w:r>
              <w:rPr>
                <w:rFonts w:ascii="Lucida Sans Unicode" w:hAnsi="Lucida Sans Unicode"/>
                <w:spacing w:val="-2"/>
                <w:w w:val="95"/>
                <w:sz w:val="20"/>
              </w:rPr>
              <w:t>−</w:t>
            </w:r>
            <w:r>
              <w:rPr>
                <w:spacing w:val="-2"/>
                <w:w w:val="95"/>
                <w:sz w:val="20"/>
              </w:rPr>
              <w:t>28.875</w:t>
            </w:r>
            <w:r>
              <w:rPr>
                <w:rFonts w:ascii="Lucida Sans Unicode" w:hAnsi="Lucida Sans Unicode"/>
                <w:spacing w:val="-2"/>
                <w:w w:val="95"/>
                <w:sz w:val="20"/>
                <w:vertAlign w:val="superscript"/>
              </w:rPr>
              <w:t>∗∗∗</w:t>
            </w:r>
          </w:p>
          <w:p>
            <w:pPr>
              <w:pStyle w:val="TableParagraph"/>
              <w:spacing w:line="211" w:lineRule="exact"/>
              <w:ind w:left="429" w:right="127"/>
              <w:rPr>
                <w:sz w:val="20"/>
              </w:rPr>
            </w:pPr>
            <w:r>
              <w:rPr>
                <w:spacing w:val="-2"/>
                <w:sz w:val="20"/>
              </w:rPr>
              <w:t>(10.693)</w:t>
            </w:r>
          </w:p>
        </w:tc>
        <w:tc>
          <w:tcPr>
            <w:tcW w:w="1322" w:type="dxa"/>
            <w:tcBorders>
              <w:top w:val="single" w:sz="4" w:space="0" w:color="000000"/>
            </w:tcBorders>
          </w:tcPr>
          <w:p>
            <w:pPr>
              <w:pStyle w:val="TableParagraph"/>
              <w:jc w:val="left"/>
              <w:rPr>
                <w:rFonts w:ascii="Times New Roman"/>
                <w:sz w:val="18"/>
              </w:rPr>
            </w:pPr>
          </w:p>
        </w:tc>
        <w:tc>
          <w:tcPr>
            <w:tcW w:w="1474" w:type="dxa"/>
            <w:tcBorders>
              <w:top w:val="single" w:sz="4" w:space="0" w:color="000000"/>
            </w:tcBorders>
          </w:tcPr>
          <w:p>
            <w:pPr>
              <w:pStyle w:val="TableParagraph"/>
              <w:jc w:val="left"/>
              <w:rPr>
                <w:rFonts w:ascii="Times New Roman"/>
                <w:sz w:val="18"/>
              </w:rPr>
            </w:pPr>
          </w:p>
        </w:tc>
        <w:tc>
          <w:tcPr>
            <w:tcW w:w="1431" w:type="dxa"/>
            <w:tcBorders>
              <w:top w:val="single" w:sz="4" w:space="0" w:color="000000"/>
            </w:tcBorders>
          </w:tcPr>
          <w:p>
            <w:pPr>
              <w:pStyle w:val="TableParagraph"/>
              <w:jc w:val="left"/>
              <w:rPr>
                <w:rFonts w:ascii="Times New Roman"/>
                <w:sz w:val="18"/>
              </w:rPr>
            </w:pPr>
          </w:p>
        </w:tc>
      </w:tr>
      <w:tr>
        <w:trPr>
          <w:trHeight w:val="704" w:hRule="atLeast"/>
        </w:trPr>
        <w:tc>
          <w:tcPr>
            <w:tcW w:w="1990" w:type="dxa"/>
          </w:tcPr>
          <w:p>
            <w:pPr>
              <w:pStyle w:val="TableParagraph"/>
              <w:spacing w:before="109"/>
              <w:jc w:val="left"/>
              <w:rPr>
                <w:sz w:val="20"/>
              </w:rPr>
            </w:pPr>
            <w:r>
              <w:rPr>
                <w:w w:val="105"/>
                <w:sz w:val="20"/>
              </w:rPr>
              <w:t>WTI</w:t>
            </w:r>
            <w:r>
              <w:rPr>
                <w:spacing w:val="17"/>
                <w:w w:val="105"/>
                <w:sz w:val="20"/>
              </w:rPr>
              <w:t> </w:t>
            </w:r>
            <w:r>
              <w:rPr>
                <w:w w:val="105"/>
                <w:sz w:val="20"/>
              </w:rPr>
              <w:t>P(t-</w:t>
            </w:r>
            <w:r>
              <w:rPr>
                <w:spacing w:val="-5"/>
                <w:w w:val="105"/>
                <w:sz w:val="20"/>
              </w:rPr>
              <w:t>1)</w:t>
            </w:r>
          </w:p>
        </w:tc>
        <w:tc>
          <w:tcPr>
            <w:tcW w:w="1614" w:type="dxa"/>
          </w:tcPr>
          <w:p>
            <w:pPr>
              <w:pStyle w:val="TableParagraph"/>
              <w:jc w:val="left"/>
              <w:rPr>
                <w:rFonts w:ascii="Times New Roman"/>
                <w:sz w:val="18"/>
              </w:rPr>
            </w:pPr>
          </w:p>
        </w:tc>
        <w:tc>
          <w:tcPr>
            <w:tcW w:w="1322" w:type="dxa"/>
          </w:tcPr>
          <w:p>
            <w:pPr>
              <w:pStyle w:val="TableParagraph"/>
              <w:spacing w:line="291" w:lineRule="exact" w:before="73"/>
              <w:ind w:left="359"/>
              <w:jc w:val="left"/>
              <w:rPr>
                <w:sz w:val="20"/>
              </w:rPr>
            </w:pPr>
            <w:r>
              <w:rPr>
                <w:rFonts w:ascii="Lucida Sans Unicode" w:hAnsi="Lucida Sans Unicode"/>
                <w:spacing w:val="-2"/>
                <w:sz w:val="20"/>
              </w:rPr>
              <w:t>−</w:t>
            </w:r>
            <w:r>
              <w:rPr>
                <w:spacing w:val="-2"/>
                <w:sz w:val="20"/>
              </w:rPr>
              <w:t>2.888</w:t>
            </w:r>
          </w:p>
          <w:p>
            <w:pPr>
              <w:pStyle w:val="TableParagraph"/>
              <w:spacing w:line="211" w:lineRule="exact"/>
              <w:ind w:left="359"/>
              <w:jc w:val="left"/>
              <w:rPr>
                <w:sz w:val="20"/>
              </w:rPr>
            </w:pPr>
            <w:r>
              <w:rPr>
                <w:spacing w:val="-2"/>
                <w:sz w:val="20"/>
              </w:rPr>
              <w:t>(9.602)</w:t>
            </w:r>
          </w:p>
        </w:tc>
        <w:tc>
          <w:tcPr>
            <w:tcW w:w="1474" w:type="dxa"/>
          </w:tcPr>
          <w:p>
            <w:pPr>
              <w:pStyle w:val="TableParagraph"/>
              <w:jc w:val="left"/>
              <w:rPr>
                <w:rFonts w:ascii="Times New Roman"/>
                <w:sz w:val="18"/>
              </w:rPr>
            </w:pPr>
          </w:p>
        </w:tc>
        <w:tc>
          <w:tcPr>
            <w:tcW w:w="1431" w:type="dxa"/>
          </w:tcPr>
          <w:p>
            <w:pPr>
              <w:pStyle w:val="TableParagraph"/>
              <w:jc w:val="left"/>
              <w:rPr>
                <w:rFonts w:ascii="Times New Roman"/>
                <w:sz w:val="18"/>
              </w:rPr>
            </w:pPr>
          </w:p>
        </w:tc>
      </w:tr>
      <w:tr>
        <w:trPr>
          <w:trHeight w:val="717" w:hRule="atLeast"/>
        </w:trPr>
        <w:tc>
          <w:tcPr>
            <w:tcW w:w="1990" w:type="dxa"/>
          </w:tcPr>
          <w:p>
            <w:pPr>
              <w:pStyle w:val="TableParagraph"/>
              <w:spacing w:before="122"/>
              <w:jc w:val="left"/>
              <w:rPr>
                <w:sz w:val="20"/>
              </w:rPr>
            </w:pPr>
            <w:r>
              <w:rPr>
                <w:sz w:val="20"/>
              </w:rPr>
              <w:t>WTI</w:t>
            </w:r>
            <w:r>
              <w:rPr>
                <w:spacing w:val="28"/>
                <w:sz w:val="20"/>
              </w:rPr>
              <w:t> </w:t>
            </w:r>
            <w:r>
              <w:rPr>
                <w:sz w:val="20"/>
              </w:rPr>
              <w:t>%</w:t>
            </w:r>
            <w:r>
              <w:rPr>
                <w:spacing w:val="29"/>
                <w:sz w:val="20"/>
              </w:rPr>
              <w:t> </w:t>
            </w:r>
            <w:r>
              <w:rPr>
                <w:spacing w:val="-2"/>
                <w:sz w:val="20"/>
              </w:rPr>
              <w:t>chng(t)</w:t>
            </w:r>
          </w:p>
        </w:tc>
        <w:tc>
          <w:tcPr>
            <w:tcW w:w="1614" w:type="dxa"/>
          </w:tcPr>
          <w:p>
            <w:pPr>
              <w:pStyle w:val="TableParagraph"/>
              <w:jc w:val="left"/>
              <w:rPr>
                <w:rFonts w:ascii="Times New Roman"/>
                <w:sz w:val="18"/>
              </w:rPr>
            </w:pPr>
          </w:p>
        </w:tc>
        <w:tc>
          <w:tcPr>
            <w:tcW w:w="1322" w:type="dxa"/>
          </w:tcPr>
          <w:p>
            <w:pPr>
              <w:pStyle w:val="TableParagraph"/>
              <w:jc w:val="left"/>
              <w:rPr>
                <w:rFonts w:ascii="Times New Roman"/>
                <w:sz w:val="18"/>
              </w:rPr>
            </w:pPr>
          </w:p>
        </w:tc>
        <w:tc>
          <w:tcPr>
            <w:tcW w:w="1474" w:type="dxa"/>
          </w:tcPr>
          <w:p>
            <w:pPr>
              <w:pStyle w:val="TableParagraph"/>
              <w:spacing w:line="291" w:lineRule="exact" w:before="86"/>
              <w:ind w:left="145" w:right="148"/>
              <w:rPr>
                <w:rFonts w:ascii="Lucida Sans Unicode" w:hAnsi="Lucida Sans Unicode"/>
                <w:sz w:val="20"/>
              </w:rPr>
            </w:pPr>
            <w:r>
              <w:rPr>
                <w:rFonts w:ascii="Lucida Sans Unicode" w:hAnsi="Lucida Sans Unicode"/>
                <w:spacing w:val="-2"/>
                <w:sz w:val="20"/>
              </w:rPr>
              <w:t>−</w:t>
            </w:r>
            <w:r>
              <w:rPr>
                <w:spacing w:val="-2"/>
                <w:sz w:val="20"/>
              </w:rPr>
              <w:t>1,190.311</w:t>
            </w:r>
            <w:r>
              <w:rPr>
                <w:rFonts w:ascii="Lucida Sans Unicode" w:hAnsi="Lucida Sans Unicode"/>
                <w:spacing w:val="-2"/>
                <w:sz w:val="20"/>
                <w:vertAlign w:val="superscript"/>
              </w:rPr>
              <w:t>∗∗</w:t>
            </w:r>
          </w:p>
          <w:p>
            <w:pPr>
              <w:pStyle w:val="TableParagraph"/>
              <w:spacing w:line="211" w:lineRule="exact"/>
              <w:ind w:left="145" w:right="140"/>
              <w:rPr>
                <w:sz w:val="20"/>
              </w:rPr>
            </w:pPr>
            <w:r>
              <w:rPr>
                <w:spacing w:val="-2"/>
                <w:sz w:val="20"/>
              </w:rPr>
              <w:t>(600.541)</w:t>
            </w:r>
          </w:p>
        </w:tc>
        <w:tc>
          <w:tcPr>
            <w:tcW w:w="1431" w:type="dxa"/>
          </w:tcPr>
          <w:p>
            <w:pPr>
              <w:pStyle w:val="TableParagraph"/>
              <w:jc w:val="left"/>
              <w:rPr>
                <w:rFonts w:ascii="Times New Roman"/>
                <w:sz w:val="18"/>
              </w:rPr>
            </w:pPr>
          </w:p>
        </w:tc>
      </w:tr>
      <w:tr>
        <w:trPr>
          <w:trHeight w:val="717" w:hRule="atLeast"/>
        </w:trPr>
        <w:tc>
          <w:tcPr>
            <w:tcW w:w="1990" w:type="dxa"/>
          </w:tcPr>
          <w:p>
            <w:pPr>
              <w:pStyle w:val="TableParagraph"/>
              <w:spacing w:before="122"/>
              <w:ind w:left="-1"/>
              <w:jc w:val="left"/>
              <w:rPr>
                <w:sz w:val="20"/>
              </w:rPr>
            </w:pPr>
            <w:r>
              <w:rPr>
                <w:sz w:val="20"/>
              </w:rPr>
              <w:t>WTI</w:t>
            </w:r>
            <w:r>
              <w:rPr>
                <w:spacing w:val="24"/>
                <w:sz w:val="20"/>
              </w:rPr>
              <w:t> </w:t>
            </w:r>
            <w:r>
              <w:rPr>
                <w:sz w:val="20"/>
              </w:rPr>
              <w:t>%</w:t>
            </w:r>
            <w:r>
              <w:rPr>
                <w:spacing w:val="24"/>
                <w:sz w:val="20"/>
              </w:rPr>
              <w:t> </w:t>
            </w:r>
            <w:r>
              <w:rPr>
                <w:sz w:val="20"/>
              </w:rPr>
              <w:t>chng(t-</w:t>
            </w:r>
            <w:r>
              <w:rPr>
                <w:spacing w:val="-5"/>
                <w:sz w:val="20"/>
              </w:rPr>
              <w:t>1)</w:t>
            </w:r>
          </w:p>
        </w:tc>
        <w:tc>
          <w:tcPr>
            <w:tcW w:w="1614" w:type="dxa"/>
          </w:tcPr>
          <w:p>
            <w:pPr>
              <w:pStyle w:val="TableParagraph"/>
              <w:jc w:val="left"/>
              <w:rPr>
                <w:rFonts w:ascii="Times New Roman"/>
                <w:sz w:val="18"/>
              </w:rPr>
            </w:pPr>
          </w:p>
        </w:tc>
        <w:tc>
          <w:tcPr>
            <w:tcW w:w="1322" w:type="dxa"/>
          </w:tcPr>
          <w:p>
            <w:pPr>
              <w:pStyle w:val="TableParagraph"/>
              <w:jc w:val="left"/>
              <w:rPr>
                <w:rFonts w:ascii="Times New Roman"/>
                <w:sz w:val="18"/>
              </w:rPr>
            </w:pPr>
          </w:p>
        </w:tc>
        <w:tc>
          <w:tcPr>
            <w:tcW w:w="1474" w:type="dxa"/>
          </w:tcPr>
          <w:p>
            <w:pPr>
              <w:pStyle w:val="TableParagraph"/>
              <w:jc w:val="left"/>
              <w:rPr>
                <w:rFonts w:ascii="Times New Roman"/>
                <w:sz w:val="18"/>
              </w:rPr>
            </w:pPr>
          </w:p>
        </w:tc>
        <w:tc>
          <w:tcPr>
            <w:tcW w:w="1431" w:type="dxa"/>
          </w:tcPr>
          <w:p>
            <w:pPr>
              <w:pStyle w:val="TableParagraph"/>
              <w:spacing w:line="291" w:lineRule="exact" w:before="86"/>
              <w:ind w:left="132" w:right="93"/>
              <w:rPr>
                <w:rFonts w:ascii="Lucida Sans Unicode" w:hAnsi="Lucida Sans Unicode"/>
                <w:sz w:val="20"/>
              </w:rPr>
            </w:pPr>
            <w:r>
              <w:rPr>
                <w:rFonts w:ascii="Lucida Sans Unicode" w:hAnsi="Lucida Sans Unicode"/>
                <w:spacing w:val="-2"/>
                <w:sz w:val="20"/>
              </w:rPr>
              <w:t>−</w:t>
            </w:r>
            <w:r>
              <w:rPr>
                <w:spacing w:val="-2"/>
                <w:sz w:val="20"/>
              </w:rPr>
              <w:t>1,617.526</w:t>
            </w:r>
            <w:r>
              <w:rPr>
                <w:rFonts w:ascii="Lucida Sans Unicode" w:hAnsi="Lucida Sans Unicode"/>
                <w:spacing w:val="-2"/>
                <w:sz w:val="20"/>
                <w:vertAlign w:val="superscript"/>
              </w:rPr>
              <w:t>∗∗</w:t>
            </w:r>
          </w:p>
          <w:p>
            <w:pPr>
              <w:pStyle w:val="TableParagraph"/>
              <w:spacing w:line="211" w:lineRule="exact"/>
              <w:ind w:left="132" w:right="82"/>
              <w:rPr>
                <w:sz w:val="20"/>
              </w:rPr>
            </w:pPr>
            <w:r>
              <w:rPr>
                <w:spacing w:val="-2"/>
                <w:sz w:val="20"/>
              </w:rPr>
              <w:t>(673.981)</w:t>
            </w:r>
          </w:p>
        </w:tc>
      </w:tr>
      <w:tr>
        <w:trPr>
          <w:trHeight w:val="375" w:hRule="atLeast"/>
        </w:trPr>
        <w:tc>
          <w:tcPr>
            <w:tcW w:w="1990" w:type="dxa"/>
          </w:tcPr>
          <w:p>
            <w:pPr>
              <w:pStyle w:val="TableParagraph"/>
              <w:spacing w:before="122"/>
              <w:ind w:left="-1"/>
              <w:jc w:val="left"/>
              <w:rPr>
                <w:sz w:val="20"/>
              </w:rPr>
            </w:pPr>
            <w:r>
              <w:rPr>
                <w:spacing w:val="-2"/>
                <w:sz w:val="20"/>
              </w:rPr>
              <w:t>log(Population)</w:t>
            </w:r>
          </w:p>
        </w:tc>
        <w:tc>
          <w:tcPr>
            <w:tcW w:w="1614" w:type="dxa"/>
          </w:tcPr>
          <w:p>
            <w:pPr>
              <w:pStyle w:val="TableParagraph"/>
              <w:spacing w:before="122"/>
              <w:ind w:right="251"/>
              <w:jc w:val="right"/>
              <w:rPr>
                <w:sz w:val="20"/>
              </w:rPr>
            </w:pPr>
            <w:r>
              <w:rPr>
                <w:spacing w:val="-2"/>
                <w:sz w:val="20"/>
              </w:rPr>
              <w:t>2,244.934</w:t>
            </w:r>
          </w:p>
        </w:tc>
        <w:tc>
          <w:tcPr>
            <w:tcW w:w="1322" w:type="dxa"/>
          </w:tcPr>
          <w:p>
            <w:pPr>
              <w:pStyle w:val="TableParagraph"/>
              <w:spacing w:line="269" w:lineRule="exact" w:before="86"/>
              <w:ind w:left="107" w:right="110"/>
              <w:rPr>
                <w:rFonts w:ascii="Lucida Sans Unicode" w:hAnsi="Lucida Sans Unicode"/>
                <w:sz w:val="20"/>
              </w:rPr>
            </w:pPr>
            <w:r>
              <w:rPr>
                <w:spacing w:val="-2"/>
                <w:sz w:val="20"/>
              </w:rPr>
              <w:t>4,279.730</w:t>
            </w:r>
            <w:r>
              <w:rPr>
                <w:rFonts w:ascii="Lucida Sans Unicode" w:hAnsi="Lucida Sans Unicode"/>
                <w:spacing w:val="-2"/>
                <w:sz w:val="20"/>
                <w:vertAlign w:val="superscript"/>
              </w:rPr>
              <w:t>∗∗</w:t>
            </w:r>
          </w:p>
        </w:tc>
        <w:tc>
          <w:tcPr>
            <w:tcW w:w="1474" w:type="dxa"/>
          </w:tcPr>
          <w:p>
            <w:pPr>
              <w:pStyle w:val="TableParagraph"/>
              <w:spacing w:line="269" w:lineRule="exact" w:before="86"/>
              <w:ind w:left="145" w:right="148"/>
              <w:rPr>
                <w:rFonts w:ascii="Lucida Sans Unicode" w:hAnsi="Lucida Sans Unicode"/>
                <w:sz w:val="20"/>
              </w:rPr>
            </w:pPr>
            <w:r>
              <w:rPr>
                <w:spacing w:val="-2"/>
                <w:sz w:val="20"/>
              </w:rPr>
              <w:t>4,161.462</w:t>
            </w:r>
            <w:r>
              <w:rPr>
                <w:rFonts w:ascii="Lucida Sans Unicode" w:hAnsi="Lucida Sans Unicode"/>
                <w:spacing w:val="-2"/>
                <w:sz w:val="20"/>
                <w:vertAlign w:val="superscript"/>
              </w:rPr>
              <w:t>∗∗</w:t>
            </w:r>
          </w:p>
        </w:tc>
        <w:tc>
          <w:tcPr>
            <w:tcW w:w="1431" w:type="dxa"/>
          </w:tcPr>
          <w:p>
            <w:pPr>
              <w:pStyle w:val="TableParagraph"/>
              <w:spacing w:line="269" w:lineRule="exact" w:before="86"/>
              <w:ind w:left="132" w:right="93"/>
              <w:rPr>
                <w:rFonts w:ascii="Lucida Sans Unicode" w:hAnsi="Lucida Sans Unicode"/>
                <w:sz w:val="20"/>
              </w:rPr>
            </w:pPr>
            <w:r>
              <w:rPr>
                <w:spacing w:val="-2"/>
                <w:sz w:val="20"/>
              </w:rPr>
              <w:t>3,452.998</w:t>
            </w:r>
            <w:r>
              <w:rPr>
                <w:rFonts w:ascii="Lucida Sans Unicode" w:hAnsi="Lucida Sans Unicode"/>
                <w:spacing w:val="-2"/>
                <w:sz w:val="20"/>
                <w:vertAlign w:val="superscript"/>
              </w:rPr>
              <w:t>∗</w:t>
            </w:r>
          </w:p>
        </w:tc>
      </w:tr>
      <w:tr>
        <w:trPr>
          <w:trHeight w:val="342" w:hRule="atLeast"/>
        </w:trPr>
        <w:tc>
          <w:tcPr>
            <w:tcW w:w="1990" w:type="dxa"/>
          </w:tcPr>
          <w:p>
            <w:pPr>
              <w:pStyle w:val="TableParagraph"/>
              <w:jc w:val="left"/>
              <w:rPr>
                <w:rFonts w:ascii="Times New Roman"/>
                <w:sz w:val="18"/>
              </w:rPr>
            </w:pPr>
          </w:p>
        </w:tc>
        <w:tc>
          <w:tcPr>
            <w:tcW w:w="1614" w:type="dxa"/>
          </w:tcPr>
          <w:p>
            <w:pPr>
              <w:pStyle w:val="TableParagraph"/>
              <w:spacing w:line="213" w:lineRule="exact"/>
              <w:ind w:right="171"/>
              <w:jc w:val="right"/>
              <w:rPr>
                <w:sz w:val="20"/>
              </w:rPr>
            </w:pPr>
            <w:r>
              <w:rPr>
                <w:spacing w:val="-2"/>
                <w:sz w:val="20"/>
              </w:rPr>
              <w:t>(2,038.138)</w:t>
            </w:r>
          </w:p>
        </w:tc>
        <w:tc>
          <w:tcPr>
            <w:tcW w:w="1322" w:type="dxa"/>
          </w:tcPr>
          <w:p>
            <w:pPr>
              <w:pStyle w:val="TableParagraph"/>
              <w:spacing w:line="213" w:lineRule="exact"/>
              <w:ind w:left="107" w:right="98"/>
              <w:rPr>
                <w:sz w:val="20"/>
              </w:rPr>
            </w:pPr>
            <w:r>
              <w:rPr>
                <w:spacing w:val="-2"/>
                <w:sz w:val="20"/>
              </w:rPr>
              <w:t>(1,977.919)</w:t>
            </w:r>
          </w:p>
        </w:tc>
        <w:tc>
          <w:tcPr>
            <w:tcW w:w="1474" w:type="dxa"/>
          </w:tcPr>
          <w:p>
            <w:pPr>
              <w:pStyle w:val="TableParagraph"/>
              <w:spacing w:line="213" w:lineRule="exact"/>
              <w:ind w:left="145" w:right="135"/>
              <w:rPr>
                <w:sz w:val="20"/>
              </w:rPr>
            </w:pPr>
            <w:r>
              <w:rPr>
                <w:spacing w:val="-2"/>
                <w:sz w:val="20"/>
              </w:rPr>
              <w:t>(1,901.066)</w:t>
            </w:r>
          </w:p>
        </w:tc>
        <w:tc>
          <w:tcPr>
            <w:tcW w:w="1431" w:type="dxa"/>
          </w:tcPr>
          <w:p>
            <w:pPr>
              <w:pStyle w:val="TableParagraph"/>
              <w:spacing w:line="213" w:lineRule="exact"/>
              <w:ind w:left="132" w:right="74"/>
              <w:rPr>
                <w:sz w:val="20"/>
              </w:rPr>
            </w:pPr>
            <w:r>
              <w:rPr>
                <w:spacing w:val="-2"/>
                <w:sz w:val="20"/>
              </w:rPr>
              <w:t>(1,925.875)</w:t>
            </w:r>
          </w:p>
        </w:tc>
      </w:tr>
      <w:tr>
        <w:trPr>
          <w:trHeight w:val="375" w:hRule="atLeast"/>
        </w:trPr>
        <w:tc>
          <w:tcPr>
            <w:tcW w:w="1990" w:type="dxa"/>
          </w:tcPr>
          <w:p>
            <w:pPr>
              <w:pStyle w:val="TableParagraph"/>
              <w:spacing w:before="122"/>
              <w:ind w:left="-1"/>
              <w:jc w:val="left"/>
              <w:rPr>
                <w:sz w:val="20"/>
              </w:rPr>
            </w:pPr>
            <w:r>
              <w:rPr>
                <w:sz w:val="20"/>
              </w:rPr>
              <w:t>Sec</w:t>
            </w:r>
            <w:r>
              <w:rPr>
                <w:spacing w:val="3"/>
                <w:sz w:val="20"/>
              </w:rPr>
              <w:t> </w:t>
            </w:r>
            <w:r>
              <w:rPr>
                <w:spacing w:val="-4"/>
                <w:sz w:val="20"/>
              </w:rPr>
              <w:t>score</w:t>
            </w:r>
          </w:p>
        </w:tc>
        <w:tc>
          <w:tcPr>
            <w:tcW w:w="1614" w:type="dxa"/>
          </w:tcPr>
          <w:p>
            <w:pPr>
              <w:pStyle w:val="TableParagraph"/>
              <w:spacing w:line="269" w:lineRule="exact" w:before="86"/>
              <w:ind w:right="173"/>
              <w:jc w:val="right"/>
              <w:rPr>
                <w:rFonts w:ascii="Lucida Sans Unicode" w:hAnsi="Lucida Sans Unicode"/>
                <w:sz w:val="20"/>
              </w:rPr>
            </w:pPr>
            <w:r>
              <w:rPr>
                <w:spacing w:val="-2"/>
                <w:sz w:val="20"/>
              </w:rPr>
              <w:t>1,152.992</w:t>
            </w:r>
            <w:r>
              <w:rPr>
                <w:rFonts w:ascii="Lucida Sans Unicode" w:hAnsi="Lucida Sans Unicode"/>
                <w:spacing w:val="-2"/>
                <w:sz w:val="20"/>
                <w:vertAlign w:val="superscript"/>
              </w:rPr>
              <w:t>∗∗</w:t>
            </w:r>
          </w:p>
        </w:tc>
        <w:tc>
          <w:tcPr>
            <w:tcW w:w="1322" w:type="dxa"/>
          </w:tcPr>
          <w:p>
            <w:pPr>
              <w:pStyle w:val="TableParagraph"/>
              <w:spacing w:line="269" w:lineRule="exact" w:before="86"/>
              <w:ind w:left="107" w:right="109"/>
              <w:rPr>
                <w:rFonts w:ascii="Lucida Sans Unicode" w:hAnsi="Lucida Sans Unicode"/>
                <w:sz w:val="20"/>
              </w:rPr>
            </w:pPr>
            <w:r>
              <w:rPr>
                <w:spacing w:val="-2"/>
                <w:sz w:val="20"/>
              </w:rPr>
              <w:t>875.673</w:t>
            </w:r>
            <w:r>
              <w:rPr>
                <w:rFonts w:ascii="Lucida Sans Unicode" w:hAnsi="Lucida Sans Unicode"/>
                <w:spacing w:val="-2"/>
                <w:sz w:val="20"/>
                <w:vertAlign w:val="superscript"/>
              </w:rPr>
              <w:t>∗</w:t>
            </w:r>
          </w:p>
        </w:tc>
        <w:tc>
          <w:tcPr>
            <w:tcW w:w="1474" w:type="dxa"/>
          </w:tcPr>
          <w:p>
            <w:pPr>
              <w:pStyle w:val="TableParagraph"/>
              <w:spacing w:before="122"/>
              <w:ind w:left="145" w:right="141"/>
              <w:rPr>
                <w:sz w:val="20"/>
              </w:rPr>
            </w:pPr>
            <w:r>
              <w:rPr>
                <w:spacing w:val="-2"/>
                <w:sz w:val="20"/>
              </w:rPr>
              <w:t>773.926</w:t>
            </w:r>
          </w:p>
        </w:tc>
        <w:tc>
          <w:tcPr>
            <w:tcW w:w="1431" w:type="dxa"/>
          </w:tcPr>
          <w:p>
            <w:pPr>
              <w:pStyle w:val="TableParagraph"/>
              <w:spacing w:line="269" w:lineRule="exact" w:before="86"/>
              <w:ind w:left="132" w:right="93"/>
              <w:rPr>
                <w:rFonts w:ascii="Lucida Sans Unicode" w:hAnsi="Lucida Sans Unicode"/>
                <w:sz w:val="20"/>
              </w:rPr>
            </w:pPr>
            <w:r>
              <w:rPr>
                <w:spacing w:val="-2"/>
                <w:sz w:val="20"/>
              </w:rPr>
              <w:t>976.206</w:t>
            </w:r>
            <w:r>
              <w:rPr>
                <w:rFonts w:ascii="Lucida Sans Unicode" w:hAnsi="Lucida Sans Unicode"/>
                <w:spacing w:val="-2"/>
                <w:sz w:val="20"/>
                <w:vertAlign w:val="superscript"/>
              </w:rPr>
              <w:t>∗</w:t>
            </w:r>
          </w:p>
        </w:tc>
      </w:tr>
      <w:tr>
        <w:trPr>
          <w:trHeight w:val="354" w:hRule="atLeast"/>
        </w:trPr>
        <w:tc>
          <w:tcPr>
            <w:tcW w:w="1990" w:type="dxa"/>
          </w:tcPr>
          <w:p>
            <w:pPr>
              <w:pStyle w:val="TableParagraph"/>
              <w:jc w:val="left"/>
              <w:rPr>
                <w:rFonts w:ascii="Times New Roman"/>
                <w:sz w:val="18"/>
              </w:rPr>
            </w:pPr>
          </w:p>
        </w:tc>
        <w:tc>
          <w:tcPr>
            <w:tcW w:w="1614" w:type="dxa"/>
          </w:tcPr>
          <w:p>
            <w:pPr>
              <w:pStyle w:val="TableParagraph"/>
              <w:spacing w:line="213" w:lineRule="exact"/>
              <w:ind w:right="249"/>
              <w:jc w:val="right"/>
              <w:rPr>
                <w:sz w:val="20"/>
              </w:rPr>
            </w:pPr>
            <w:r>
              <w:rPr>
                <w:spacing w:val="-2"/>
                <w:sz w:val="20"/>
              </w:rPr>
              <w:t>(510.982)</w:t>
            </w:r>
          </w:p>
        </w:tc>
        <w:tc>
          <w:tcPr>
            <w:tcW w:w="1322" w:type="dxa"/>
          </w:tcPr>
          <w:p>
            <w:pPr>
              <w:pStyle w:val="TableParagraph"/>
              <w:spacing w:line="213" w:lineRule="exact"/>
              <w:ind w:left="107" w:right="99"/>
              <w:rPr>
                <w:sz w:val="20"/>
              </w:rPr>
            </w:pPr>
            <w:r>
              <w:rPr>
                <w:spacing w:val="-2"/>
                <w:sz w:val="20"/>
              </w:rPr>
              <w:t>(526.654)</w:t>
            </w:r>
          </w:p>
        </w:tc>
        <w:tc>
          <w:tcPr>
            <w:tcW w:w="1474" w:type="dxa"/>
          </w:tcPr>
          <w:p>
            <w:pPr>
              <w:pStyle w:val="TableParagraph"/>
              <w:spacing w:line="213" w:lineRule="exact"/>
              <w:ind w:left="145" w:right="136"/>
              <w:rPr>
                <w:sz w:val="20"/>
              </w:rPr>
            </w:pPr>
            <w:r>
              <w:rPr>
                <w:spacing w:val="-2"/>
                <w:sz w:val="20"/>
              </w:rPr>
              <w:t>(504.849)</w:t>
            </w:r>
          </w:p>
        </w:tc>
        <w:tc>
          <w:tcPr>
            <w:tcW w:w="1431" w:type="dxa"/>
          </w:tcPr>
          <w:p>
            <w:pPr>
              <w:pStyle w:val="TableParagraph"/>
              <w:spacing w:line="213" w:lineRule="exact"/>
              <w:ind w:left="132" w:right="75"/>
              <w:rPr>
                <w:sz w:val="20"/>
              </w:rPr>
            </w:pPr>
            <w:r>
              <w:rPr>
                <w:spacing w:val="-2"/>
                <w:sz w:val="20"/>
              </w:rPr>
              <w:t>(503.646)</w:t>
            </w:r>
          </w:p>
        </w:tc>
      </w:tr>
      <w:tr>
        <w:trPr>
          <w:trHeight w:val="362" w:hRule="atLeast"/>
        </w:trPr>
        <w:tc>
          <w:tcPr>
            <w:tcW w:w="1990" w:type="dxa"/>
          </w:tcPr>
          <w:p>
            <w:pPr>
              <w:pStyle w:val="TableParagraph"/>
              <w:spacing w:before="109"/>
              <w:jc w:val="left"/>
              <w:rPr>
                <w:sz w:val="20"/>
              </w:rPr>
            </w:pPr>
            <w:r>
              <w:rPr>
                <w:spacing w:val="-2"/>
                <w:sz w:val="20"/>
              </w:rPr>
              <w:t>log(GDP)</w:t>
            </w:r>
          </w:p>
        </w:tc>
        <w:tc>
          <w:tcPr>
            <w:tcW w:w="1614" w:type="dxa"/>
          </w:tcPr>
          <w:p>
            <w:pPr>
              <w:pStyle w:val="TableParagraph"/>
              <w:spacing w:before="109"/>
              <w:ind w:left="631"/>
              <w:jc w:val="left"/>
              <w:rPr>
                <w:sz w:val="20"/>
              </w:rPr>
            </w:pPr>
            <w:r>
              <w:rPr>
                <w:spacing w:val="-2"/>
                <w:sz w:val="20"/>
              </w:rPr>
              <w:t>841.387</w:t>
            </w:r>
          </w:p>
        </w:tc>
        <w:tc>
          <w:tcPr>
            <w:tcW w:w="1322" w:type="dxa"/>
          </w:tcPr>
          <w:p>
            <w:pPr>
              <w:pStyle w:val="TableParagraph"/>
              <w:spacing w:line="269" w:lineRule="exact" w:before="73"/>
              <w:ind w:left="107" w:right="102"/>
              <w:rPr>
                <w:sz w:val="20"/>
              </w:rPr>
            </w:pPr>
            <w:r>
              <w:rPr>
                <w:rFonts w:ascii="Lucida Sans Unicode" w:hAnsi="Lucida Sans Unicode"/>
                <w:spacing w:val="-2"/>
                <w:sz w:val="20"/>
              </w:rPr>
              <w:t>−</w:t>
            </w:r>
            <w:r>
              <w:rPr>
                <w:spacing w:val="-2"/>
                <w:sz w:val="20"/>
              </w:rPr>
              <w:t>281.843</w:t>
            </w:r>
          </w:p>
        </w:tc>
        <w:tc>
          <w:tcPr>
            <w:tcW w:w="1474" w:type="dxa"/>
          </w:tcPr>
          <w:p>
            <w:pPr>
              <w:pStyle w:val="TableParagraph"/>
              <w:spacing w:line="269" w:lineRule="exact" w:before="73"/>
              <w:ind w:left="145" w:right="141"/>
              <w:rPr>
                <w:sz w:val="20"/>
              </w:rPr>
            </w:pPr>
            <w:r>
              <w:rPr>
                <w:rFonts w:ascii="Lucida Sans Unicode" w:hAnsi="Lucida Sans Unicode"/>
                <w:spacing w:val="-2"/>
                <w:sz w:val="20"/>
              </w:rPr>
              <w:t>−</w:t>
            </w:r>
            <w:r>
              <w:rPr>
                <w:spacing w:val="-2"/>
                <w:sz w:val="20"/>
              </w:rPr>
              <w:t>403.644</w:t>
            </w:r>
          </w:p>
        </w:tc>
        <w:tc>
          <w:tcPr>
            <w:tcW w:w="1431" w:type="dxa"/>
          </w:tcPr>
          <w:p>
            <w:pPr>
              <w:pStyle w:val="TableParagraph"/>
              <w:spacing w:line="269" w:lineRule="exact" w:before="73"/>
              <w:ind w:left="132" w:right="83"/>
              <w:rPr>
                <w:sz w:val="20"/>
              </w:rPr>
            </w:pPr>
            <w:r>
              <w:rPr>
                <w:rFonts w:ascii="Lucida Sans Unicode" w:hAnsi="Lucida Sans Unicode"/>
                <w:spacing w:val="-2"/>
                <w:sz w:val="20"/>
              </w:rPr>
              <w:t>−</w:t>
            </w:r>
            <w:r>
              <w:rPr>
                <w:spacing w:val="-2"/>
                <w:sz w:val="20"/>
              </w:rPr>
              <w:t>212.523</w:t>
            </w:r>
          </w:p>
        </w:tc>
      </w:tr>
      <w:tr>
        <w:trPr>
          <w:trHeight w:val="479" w:hRule="atLeast"/>
        </w:trPr>
        <w:tc>
          <w:tcPr>
            <w:tcW w:w="1990" w:type="dxa"/>
            <w:tcBorders>
              <w:bottom w:val="single" w:sz="4" w:space="0" w:color="000000"/>
            </w:tcBorders>
          </w:tcPr>
          <w:p>
            <w:pPr>
              <w:pStyle w:val="TableParagraph"/>
              <w:jc w:val="left"/>
              <w:rPr>
                <w:rFonts w:ascii="Times New Roman"/>
                <w:sz w:val="18"/>
              </w:rPr>
            </w:pPr>
          </w:p>
        </w:tc>
        <w:tc>
          <w:tcPr>
            <w:tcW w:w="1614" w:type="dxa"/>
            <w:tcBorders>
              <w:bottom w:val="single" w:sz="4" w:space="0" w:color="000000"/>
            </w:tcBorders>
          </w:tcPr>
          <w:p>
            <w:pPr>
              <w:pStyle w:val="TableParagraph"/>
              <w:spacing w:line="213" w:lineRule="exact"/>
              <w:ind w:right="249"/>
              <w:jc w:val="right"/>
              <w:rPr>
                <w:sz w:val="20"/>
              </w:rPr>
            </w:pPr>
            <w:r>
              <w:rPr>
                <w:spacing w:val="-2"/>
                <w:sz w:val="20"/>
              </w:rPr>
              <w:t>(626.393)</w:t>
            </w:r>
          </w:p>
        </w:tc>
        <w:tc>
          <w:tcPr>
            <w:tcW w:w="1322" w:type="dxa"/>
            <w:tcBorders>
              <w:bottom w:val="single" w:sz="4" w:space="0" w:color="000000"/>
            </w:tcBorders>
          </w:tcPr>
          <w:p>
            <w:pPr>
              <w:pStyle w:val="TableParagraph"/>
              <w:spacing w:line="213" w:lineRule="exact"/>
              <w:ind w:left="107" w:right="99"/>
              <w:rPr>
                <w:sz w:val="20"/>
              </w:rPr>
            </w:pPr>
            <w:r>
              <w:rPr>
                <w:spacing w:val="-2"/>
                <w:sz w:val="20"/>
              </w:rPr>
              <w:t>(580.287)</w:t>
            </w:r>
          </w:p>
        </w:tc>
        <w:tc>
          <w:tcPr>
            <w:tcW w:w="1474" w:type="dxa"/>
            <w:tcBorders>
              <w:bottom w:val="single" w:sz="4" w:space="0" w:color="000000"/>
            </w:tcBorders>
          </w:tcPr>
          <w:p>
            <w:pPr>
              <w:pStyle w:val="TableParagraph"/>
              <w:spacing w:line="213" w:lineRule="exact"/>
              <w:ind w:left="145" w:right="136"/>
              <w:rPr>
                <w:sz w:val="20"/>
              </w:rPr>
            </w:pPr>
            <w:r>
              <w:rPr>
                <w:spacing w:val="-2"/>
                <w:sz w:val="20"/>
              </w:rPr>
              <w:t>(432.539)</w:t>
            </w:r>
          </w:p>
        </w:tc>
        <w:tc>
          <w:tcPr>
            <w:tcW w:w="1431" w:type="dxa"/>
            <w:tcBorders>
              <w:bottom w:val="single" w:sz="4" w:space="0" w:color="000000"/>
            </w:tcBorders>
          </w:tcPr>
          <w:p>
            <w:pPr>
              <w:pStyle w:val="TableParagraph"/>
              <w:spacing w:line="213" w:lineRule="exact"/>
              <w:ind w:left="132" w:right="75"/>
              <w:rPr>
                <w:sz w:val="20"/>
              </w:rPr>
            </w:pPr>
            <w:r>
              <w:rPr>
                <w:spacing w:val="-2"/>
                <w:sz w:val="20"/>
              </w:rPr>
              <w:t>(436.278)</w:t>
            </w:r>
          </w:p>
        </w:tc>
      </w:tr>
      <w:tr>
        <w:trPr>
          <w:trHeight w:val="300" w:hRule="atLeast"/>
        </w:trPr>
        <w:tc>
          <w:tcPr>
            <w:tcW w:w="1990" w:type="dxa"/>
            <w:tcBorders>
              <w:top w:val="single" w:sz="4" w:space="0" w:color="000000"/>
            </w:tcBorders>
          </w:tcPr>
          <w:p>
            <w:pPr>
              <w:pStyle w:val="TableParagraph"/>
              <w:spacing w:line="213" w:lineRule="exact" w:before="67"/>
              <w:jc w:val="left"/>
              <w:rPr>
                <w:sz w:val="20"/>
              </w:rPr>
            </w:pPr>
            <w:r>
              <w:rPr>
                <w:spacing w:val="-2"/>
                <w:sz w:val="20"/>
              </w:rPr>
              <w:t>Observations</w:t>
            </w:r>
          </w:p>
        </w:tc>
        <w:tc>
          <w:tcPr>
            <w:tcW w:w="1614" w:type="dxa"/>
            <w:tcBorders>
              <w:top w:val="single" w:sz="4" w:space="0" w:color="000000"/>
            </w:tcBorders>
          </w:tcPr>
          <w:p>
            <w:pPr>
              <w:pStyle w:val="TableParagraph"/>
              <w:spacing w:line="213" w:lineRule="exact" w:before="67"/>
              <w:ind w:left="807"/>
              <w:jc w:val="left"/>
              <w:rPr>
                <w:sz w:val="20"/>
              </w:rPr>
            </w:pPr>
            <w:r>
              <w:rPr>
                <w:spacing w:val="-5"/>
                <w:sz w:val="20"/>
              </w:rPr>
              <w:t>139</w:t>
            </w:r>
          </w:p>
        </w:tc>
        <w:tc>
          <w:tcPr>
            <w:tcW w:w="1322" w:type="dxa"/>
            <w:tcBorders>
              <w:top w:val="single" w:sz="4" w:space="0" w:color="000000"/>
            </w:tcBorders>
          </w:tcPr>
          <w:p>
            <w:pPr>
              <w:pStyle w:val="TableParagraph"/>
              <w:spacing w:line="213" w:lineRule="exact" w:before="67"/>
              <w:ind w:left="107" w:right="103"/>
              <w:rPr>
                <w:sz w:val="20"/>
              </w:rPr>
            </w:pPr>
            <w:r>
              <w:rPr>
                <w:spacing w:val="-5"/>
                <w:sz w:val="20"/>
              </w:rPr>
              <w:t>139</w:t>
            </w:r>
          </w:p>
        </w:tc>
        <w:tc>
          <w:tcPr>
            <w:tcW w:w="1474" w:type="dxa"/>
            <w:tcBorders>
              <w:top w:val="single" w:sz="4" w:space="0" w:color="000000"/>
            </w:tcBorders>
          </w:tcPr>
          <w:p>
            <w:pPr>
              <w:pStyle w:val="TableParagraph"/>
              <w:spacing w:line="213" w:lineRule="exact" w:before="67"/>
              <w:ind w:left="145" w:right="142"/>
              <w:rPr>
                <w:sz w:val="20"/>
              </w:rPr>
            </w:pPr>
            <w:r>
              <w:rPr>
                <w:spacing w:val="-5"/>
                <w:sz w:val="20"/>
              </w:rPr>
              <w:t>139</w:t>
            </w:r>
          </w:p>
        </w:tc>
        <w:tc>
          <w:tcPr>
            <w:tcW w:w="1431" w:type="dxa"/>
            <w:tcBorders>
              <w:top w:val="single" w:sz="4" w:space="0" w:color="000000"/>
            </w:tcBorders>
          </w:tcPr>
          <w:p>
            <w:pPr>
              <w:pStyle w:val="TableParagraph"/>
              <w:spacing w:line="213" w:lineRule="exact" w:before="67"/>
              <w:ind w:left="132" w:right="84"/>
              <w:rPr>
                <w:sz w:val="20"/>
              </w:rPr>
            </w:pPr>
            <w:r>
              <w:rPr>
                <w:spacing w:val="-5"/>
                <w:sz w:val="20"/>
              </w:rPr>
              <w:t>139</w:t>
            </w:r>
          </w:p>
        </w:tc>
      </w:tr>
    </w:tbl>
    <w:p>
      <w:pPr>
        <w:pStyle w:val="BodyText"/>
        <w:tabs>
          <w:tab w:pos="2837" w:val="left" w:leader="none"/>
          <w:tab w:pos="4157" w:val="left" w:leader="none"/>
          <w:tab w:pos="5555" w:val="left" w:leader="none"/>
          <w:tab w:pos="7483" w:val="right" w:leader="none"/>
        </w:tabs>
        <w:ind w:left="117"/>
      </w:pPr>
      <w:r>
        <w:rPr/>
        <w:pict>
          <v:shape style="position:absolute;margin-left:67.865997pt;margin-top:13.168246pt;width:397.4pt;height:26.3pt;mso-position-horizontal-relative:page;mso-position-vertical-relative:paragraph;z-index:15734784" type="#_x0000_t202" id="docshape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5"/>
                    <w:gridCol w:w="1272"/>
                    <w:gridCol w:w="1334"/>
                    <w:gridCol w:w="1415"/>
                    <w:gridCol w:w="1450"/>
                  </w:tblGrid>
                  <w:tr>
                    <w:trPr>
                      <w:trHeight w:val="230" w:hRule="atLeast"/>
                    </w:trPr>
                    <w:tc>
                      <w:tcPr>
                        <w:tcW w:w="2355" w:type="dxa"/>
                      </w:tcPr>
                      <w:p>
                        <w:pPr>
                          <w:pStyle w:val="TableParagraph"/>
                          <w:spacing w:line="210" w:lineRule="exact"/>
                          <w:jc w:val="left"/>
                          <w:rPr>
                            <w:rFonts w:ascii="Century Gothic"/>
                            <w:sz w:val="20"/>
                          </w:rPr>
                        </w:pPr>
                        <w:r>
                          <w:rPr>
                            <w:sz w:val="20"/>
                          </w:rPr>
                          <w:t>Adjusted</w:t>
                        </w:r>
                        <w:r>
                          <w:rPr>
                            <w:spacing w:val="10"/>
                            <w:sz w:val="20"/>
                          </w:rPr>
                          <w:t> </w:t>
                        </w:r>
                        <w:r>
                          <w:rPr>
                            <w:spacing w:val="-5"/>
                            <w:sz w:val="20"/>
                          </w:rPr>
                          <w:t>R</w:t>
                        </w:r>
                        <w:r>
                          <w:rPr>
                            <w:rFonts w:ascii="Century Gothic"/>
                            <w:spacing w:val="-5"/>
                            <w:sz w:val="20"/>
                            <w:vertAlign w:val="superscript"/>
                          </w:rPr>
                          <w:t>2</w:t>
                        </w:r>
                      </w:p>
                    </w:tc>
                    <w:tc>
                      <w:tcPr>
                        <w:tcW w:w="1272" w:type="dxa"/>
                      </w:tcPr>
                      <w:p>
                        <w:pPr>
                          <w:pStyle w:val="TableParagraph"/>
                          <w:spacing w:line="210" w:lineRule="exact"/>
                          <w:ind w:left="185" w:right="270"/>
                          <w:rPr>
                            <w:sz w:val="20"/>
                          </w:rPr>
                        </w:pPr>
                        <w:r>
                          <w:rPr>
                            <w:spacing w:val="-2"/>
                            <w:w w:val="95"/>
                            <w:sz w:val="20"/>
                          </w:rPr>
                          <w:t>0.036</w:t>
                        </w:r>
                      </w:p>
                    </w:tc>
                    <w:tc>
                      <w:tcPr>
                        <w:tcW w:w="1334" w:type="dxa"/>
                      </w:tcPr>
                      <w:p>
                        <w:pPr>
                          <w:pStyle w:val="TableParagraph"/>
                          <w:spacing w:line="210" w:lineRule="exact"/>
                          <w:ind w:left="336"/>
                          <w:jc w:val="left"/>
                          <w:rPr>
                            <w:sz w:val="20"/>
                          </w:rPr>
                        </w:pPr>
                        <w:r>
                          <w:rPr>
                            <w:rFonts w:ascii="Lucida Sans Unicode" w:hAnsi="Lucida Sans Unicode"/>
                            <w:spacing w:val="-2"/>
                            <w:sz w:val="20"/>
                          </w:rPr>
                          <w:t>−</w:t>
                        </w:r>
                        <w:r>
                          <w:rPr>
                            <w:spacing w:val="-2"/>
                            <w:sz w:val="20"/>
                          </w:rPr>
                          <w:t>0.019</w:t>
                        </w:r>
                      </w:p>
                    </w:tc>
                    <w:tc>
                      <w:tcPr>
                        <w:tcW w:w="1415" w:type="dxa"/>
                      </w:tcPr>
                      <w:p>
                        <w:pPr>
                          <w:pStyle w:val="TableParagraph"/>
                          <w:spacing w:line="210" w:lineRule="exact"/>
                          <w:ind w:left="344" w:right="349"/>
                          <w:rPr>
                            <w:sz w:val="20"/>
                          </w:rPr>
                        </w:pPr>
                        <w:r>
                          <w:rPr>
                            <w:spacing w:val="-2"/>
                            <w:sz w:val="20"/>
                          </w:rPr>
                          <w:t>0.011</w:t>
                        </w:r>
                      </w:p>
                    </w:tc>
                    <w:tc>
                      <w:tcPr>
                        <w:tcW w:w="1450" w:type="dxa"/>
                      </w:tcPr>
                      <w:p>
                        <w:pPr>
                          <w:pStyle w:val="TableParagraph"/>
                          <w:spacing w:line="210" w:lineRule="exact"/>
                          <w:ind w:left="361" w:right="284"/>
                          <w:rPr>
                            <w:sz w:val="20"/>
                          </w:rPr>
                        </w:pPr>
                        <w:r>
                          <w:rPr>
                            <w:spacing w:val="-2"/>
                            <w:w w:val="95"/>
                            <w:sz w:val="20"/>
                          </w:rPr>
                          <w:t>0.025</w:t>
                        </w:r>
                      </w:p>
                    </w:tc>
                  </w:tr>
                  <w:tr>
                    <w:trPr>
                      <w:trHeight w:val="266" w:hRule="atLeast"/>
                    </w:trPr>
                    <w:tc>
                      <w:tcPr>
                        <w:tcW w:w="2355" w:type="dxa"/>
                        <w:tcBorders>
                          <w:bottom w:val="double" w:sz="4" w:space="0" w:color="000000"/>
                        </w:tcBorders>
                      </w:tcPr>
                      <w:p>
                        <w:pPr>
                          <w:pStyle w:val="TableParagraph"/>
                          <w:spacing w:before="2"/>
                          <w:jc w:val="left"/>
                          <w:rPr>
                            <w:sz w:val="20"/>
                          </w:rPr>
                        </w:pPr>
                        <w:r>
                          <w:rPr>
                            <w:w w:val="105"/>
                            <w:sz w:val="20"/>
                          </w:rPr>
                          <w:t>F</w:t>
                        </w:r>
                        <w:r>
                          <w:rPr>
                            <w:spacing w:val="2"/>
                            <w:w w:val="105"/>
                            <w:sz w:val="20"/>
                          </w:rPr>
                          <w:t> </w:t>
                        </w:r>
                        <w:r>
                          <w:rPr>
                            <w:w w:val="105"/>
                            <w:sz w:val="20"/>
                          </w:rPr>
                          <w:t>Statistic</w:t>
                        </w:r>
                        <w:r>
                          <w:rPr>
                            <w:spacing w:val="3"/>
                            <w:w w:val="105"/>
                            <w:sz w:val="20"/>
                          </w:rPr>
                          <w:t> </w:t>
                        </w:r>
                        <w:r>
                          <w:rPr>
                            <w:w w:val="105"/>
                            <w:sz w:val="20"/>
                          </w:rPr>
                          <w:t>(df</w:t>
                        </w:r>
                        <w:r>
                          <w:rPr>
                            <w:spacing w:val="3"/>
                            <w:w w:val="105"/>
                            <w:sz w:val="20"/>
                          </w:rPr>
                          <w:t> </w:t>
                        </w:r>
                        <w:r>
                          <w:rPr>
                            <w:w w:val="105"/>
                            <w:sz w:val="20"/>
                          </w:rPr>
                          <w:t>=</w:t>
                        </w:r>
                        <w:r>
                          <w:rPr>
                            <w:spacing w:val="3"/>
                            <w:w w:val="105"/>
                            <w:sz w:val="20"/>
                          </w:rPr>
                          <w:t> </w:t>
                        </w:r>
                        <w:r>
                          <w:rPr>
                            <w:w w:val="105"/>
                            <w:sz w:val="20"/>
                          </w:rPr>
                          <w:t>4;</w:t>
                        </w:r>
                        <w:r>
                          <w:rPr>
                            <w:spacing w:val="3"/>
                            <w:w w:val="105"/>
                            <w:sz w:val="20"/>
                          </w:rPr>
                          <w:t> </w:t>
                        </w:r>
                        <w:r>
                          <w:rPr>
                            <w:spacing w:val="-4"/>
                            <w:w w:val="105"/>
                            <w:sz w:val="20"/>
                          </w:rPr>
                          <w:t>127)</w:t>
                        </w:r>
                      </w:p>
                    </w:tc>
                    <w:tc>
                      <w:tcPr>
                        <w:tcW w:w="1272" w:type="dxa"/>
                        <w:tcBorders>
                          <w:bottom w:val="double" w:sz="4" w:space="0" w:color="000000"/>
                        </w:tcBorders>
                      </w:tcPr>
                      <w:p>
                        <w:pPr>
                          <w:pStyle w:val="TableParagraph"/>
                          <w:spacing w:line="246" w:lineRule="exact"/>
                          <w:ind w:left="185" w:right="280"/>
                          <w:rPr>
                            <w:rFonts w:ascii="Lucida Sans Unicode" w:hAnsi="Lucida Sans Unicode"/>
                            <w:sz w:val="20"/>
                          </w:rPr>
                        </w:pPr>
                        <w:r>
                          <w:rPr>
                            <w:spacing w:val="-2"/>
                            <w:w w:val="95"/>
                            <w:sz w:val="20"/>
                          </w:rPr>
                          <w:t>4.034</w:t>
                        </w:r>
                        <w:r>
                          <w:rPr>
                            <w:rFonts w:ascii="Lucida Sans Unicode" w:hAnsi="Lucida Sans Unicode"/>
                            <w:spacing w:val="-2"/>
                            <w:w w:val="95"/>
                            <w:sz w:val="20"/>
                            <w:vertAlign w:val="superscript"/>
                          </w:rPr>
                          <w:t>∗∗∗</w:t>
                        </w:r>
                      </w:p>
                    </w:tc>
                    <w:tc>
                      <w:tcPr>
                        <w:tcW w:w="1334" w:type="dxa"/>
                        <w:tcBorders>
                          <w:bottom w:val="double" w:sz="4" w:space="0" w:color="000000"/>
                        </w:tcBorders>
                      </w:tcPr>
                      <w:p>
                        <w:pPr>
                          <w:pStyle w:val="TableParagraph"/>
                          <w:spacing w:line="246" w:lineRule="exact"/>
                          <w:ind w:left="367"/>
                          <w:jc w:val="left"/>
                          <w:rPr>
                            <w:rFonts w:ascii="Lucida Sans Unicode" w:hAnsi="Lucida Sans Unicode"/>
                            <w:sz w:val="20"/>
                          </w:rPr>
                        </w:pPr>
                        <w:r>
                          <w:rPr>
                            <w:spacing w:val="-2"/>
                            <w:sz w:val="20"/>
                          </w:rPr>
                          <w:t>2.116</w:t>
                        </w:r>
                        <w:r>
                          <w:rPr>
                            <w:rFonts w:ascii="Lucida Sans Unicode" w:hAnsi="Lucida Sans Unicode"/>
                            <w:spacing w:val="-2"/>
                            <w:sz w:val="20"/>
                            <w:vertAlign w:val="superscript"/>
                          </w:rPr>
                          <w:t>∗</w:t>
                        </w:r>
                      </w:p>
                    </w:tc>
                    <w:tc>
                      <w:tcPr>
                        <w:tcW w:w="1415" w:type="dxa"/>
                        <w:tcBorders>
                          <w:bottom w:val="double" w:sz="4" w:space="0" w:color="000000"/>
                        </w:tcBorders>
                      </w:tcPr>
                      <w:p>
                        <w:pPr>
                          <w:pStyle w:val="TableParagraph"/>
                          <w:spacing w:line="246" w:lineRule="exact"/>
                          <w:ind w:left="344" w:right="358"/>
                          <w:rPr>
                            <w:rFonts w:ascii="Lucida Sans Unicode" w:hAnsi="Lucida Sans Unicode"/>
                            <w:sz w:val="20"/>
                          </w:rPr>
                        </w:pPr>
                        <w:r>
                          <w:rPr>
                            <w:spacing w:val="-2"/>
                            <w:sz w:val="20"/>
                          </w:rPr>
                          <w:t>3.138</w:t>
                        </w:r>
                        <w:r>
                          <w:rPr>
                            <w:rFonts w:ascii="Lucida Sans Unicode" w:hAnsi="Lucida Sans Unicode"/>
                            <w:spacing w:val="-2"/>
                            <w:sz w:val="20"/>
                            <w:vertAlign w:val="superscript"/>
                          </w:rPr>
                          <w:t>∗∗</w:t>
                        </w:r>
                      </w:p>
                    </w:tc>
                    <w:tc>
                      <w:tcPr>
                        <w:tcW w:w="1450" w:type="dxa"/>
                        <w:tcBorders>
                          <w:bottom w:val="double" w:sz="4" w:space="0" w:color="000000"/>
                        </w:tcBorders>
                      </w:tcPr>
                      <w:p>
                        <w:pPr>
                          <w:pStyle w:val="TableParagraph"/>
                          <w:spacing w:line="246" w:lineRule="exact"/>
                          <w:ind w:left="361" w:right="293"/>
                          <w:rPr>
                            <w:rFonts w:ascii="Lucida Sans Unicode" w:hAnsi="Lucida Sans Unicode"/>
                            <w:sz w:val="20"/>
                          </w:rPr>
                        </w:pPr>
                        <w:r>
                          <w:rPr>
                            <w:spacing w:val="-2"/>
                            <w:w w:val="95"/>
                            <w:sz w:val="20"/>
                          </w:rPr>
                          <w:t>3.626</w:t>
                        </w:r>
                        <w:r>
                          <w:rPr>
                            <w:rFonts w:ascii="Lucida Sans Unicode" w:hAnsi="Lucida Sans Unicode"/>
                            <w:spacing w:val="-2"/>
                            <w:w w:val="95"/>
                            <w:sz w:val="20"/>
                            <w:vertAlign w:val="superscript"/>
                          </w:rPr>
                          <w:t>∗∗∗</w:t>
                        </w:r>
                      </w:p>
                    </w:tc>
                  </w:tr>
                </w:tbl>
                <w:p>
                  <w:pPr>
                    <w:pStyle w:val="BodyText"/>
                  </w:pPr>
                </w:p>
              </w:txbxContent>
            </v:textbox>
            <w10:wrap type="none"/>
          </v:shape>
        </w:pict>
      </w:r>
      <w:r>
        <w:rPr>
          <w:spacing w:val="-5"/>
        </w:rPr>
        <w:t>R</w:t>
      </w:r>
      <w:r>
        <w:rPr>
          <w:rFonts w:ascii="Century Gothic"/>
          <w:spacing w:val="-5"/>
          <w:vertAlign w:val="superscript"/>
        </w:rPr>
        <w:t>2</w:t>
      </w:r>
      <w:r>
        <w:rPr>
          <w:rFonts w:ascii="Century Gothic"/>
          <w:vertAlign w:val="baseline"/>
        </w:rPr>
        <w:tab/>
      </w:r>
      <w:r>
        <w:rPr>
          <w:spacing w:val="-2"/>
          <w:vertAlign w:val="baseline"/>
        </w:rPr>
        <w:t>0.113</w:t>
      </w:r>
      <w:r>
        <w:rPr>
          <w:vertAlign w:val="baseline"/>
        </w:rPr>
        <w:tab/>
      </w:r>
      <w:r>
        <w:rPr>
          <w:spacing w:val="-2"/>
          <w:vertAlign w:val="baseline"/>
        </w:rPr>
        <w:t>0.062</w:t>
      </w:r>
      <w:r>
        <w:rPr>
          <w:vertAlign w:val="baseline"/>
        </w:rPr>
        <w:tab/>
      </w:r>
      <w:r>
        <w:rPr>
          <w:spacing w:val="-2"/>
          <w:vertAlign w:val="baseline"/>
        </w:rPr>
        <w:t>0.090</w:t>
      </w:r>
      <w:r>
        <w:rPr>
          <w:rFonts w:ascii="Times New Roman"/>
          <w:vertAlign w:val="baseline"/>
        </w:rPr>
        <w:tab/>
      </w:r>
      <w:r>
        <w:rPr>
          <w:spacing w:val="-2"/>
          <w:vertAlign w:val="baseline"/>
        </w:rPr>
        <w:t>0.103</w:t>
      </w:r>
    </w:p>
    <w:p>
      <w:pPr>
        <w:pStyle w:val="BodyText"/>
        <w:spacing w:line="232" w:lineRule="auto" w:before="607"/>
        <w:ind w:left="117" w:right="3565"/>
        <w:jc w:val="both"/>
      </w:pPr>
      <w:r>
        <w:rPr>
          <w:rFonts w:ascii="Bookman Old Style" w:hAnsi="Bookman Old Style"/>
          <w:b w:val="0"/>
          <w:i/>
        </w:rPr>
        <w:t>Notes:</w:t>
      </w:r>
      <w:r>
        <w:rPr>
          <w:rFonts w:ascii="Bookman Old Style" w:hAnsi="Bookman Old Style"/>
          <w:b w:val="0"/>
          <w:i/>
          <w:spacing w:val="-4"/>
        </w:rPr>
        <w:t> </w:t>
      </w:r>
      <w:r>
        <w:rPr/>
        <w:t>Models</w:t>
      </w:r>
      <w:r>
        <w:rPr>
          <w:spacing w:val="-11"/>
        </w:rPr>
        <w:t> </w:t>
      </w:r>
      <w:r>
        <w:rPr/>
        <w:t>are</w:t>
      </w:r>
      <w:r>
        <w:rPr>
          <w:spacing w:val="-11"/>
        </w:rPr>
        <w:t> </w:t>
      </w:r>
      <w:r>
        <w:rPr/>
        <w:t>panel</w:t>
      </w:r>
      <w:r>
        <w:rPr>
          <w:spacing w:val="-11"/>
        </w:rPr>
        <w:t> </w:t>
      </w:r>
      <w:r>
        <w:rPr/>
        <w:t>linear</w:t>
      </w:r>
      <w:r>
        <w:rPr>
          <w:spacing w:val="-11"/>
        </w:rPr>
        <w:t> </w:t>
      </w:r>
      <w:r>
        <w:rPr/>
        <w:t>regressions</w:t>
      </w:r>
      <w:r>
        <w:rPr>
          <w:spacing w:val="-11"/>
        </w:rPr>
        <w:t> </w:t>
      </w:r>
      <w:r>
        <w:rPr/>
        <w:t>with</w:t>
      </w:r>
      <w:r>
        <w:rPr>
          <w:spacing w:val="-11"/>
        </w:rPr>
        <w:t> </w:t>
      </w:r>
      <w:r>
        <w:rPr/>
        <w:t>country</w:t>
      </w:r>
      <w:r>
        <w:rPr>
          <w:spacing w:val="-11"/>
        </w:rPr>
        <w:t> </w:t>
      </w:r>
      <w:r>
        <w:rPr/>
        <w:t>fixed</w:t>
      </w:r>
      <w:r>
        <w:rPr>
          <w:spacing w:val="-11"/>
        </w:rPr>
        <w:t> </w:t>
      </w:r>
      <w:r>
        <w:rPr/>
        <w:t>effects. Price</w:t>
      </w:r>
      <w:r>
        <w:rPr>
          <w:spacing w:val="-9"/>
        </w:rPr>
        <w:t> </w:t>
      </w:r>
      <w:r>
        <w:rPr/>
        <w:t>coefficients</w:t>
      </w:r>
      <w:r>
        <w:rPr>
          <w:spacing w:val="-9"/>
        </w:rPr>
        <w:t> </w:t>
      </w:r>
      <w:r>
        <w:rPr/>
        <w:t>show</w:t>
      </w:r>
      <w:r>
        <w:rPr>
          <w:spacing w:val="-9"/>
        </w:rPr>
        <w:t> </w:t>
      </w:r>
      <w:r>
        <w:rPr/>
        <w:t>the</w:t>
      </w:r>
      <w:r>
        <w:rPr>
          <w:spacing w:val="-9"/>
        </w:rPr>
        <w:t> </w:t>
      </w:r>
      <w:r>
        <w:rPr/>
        <w:t>result</w:t>
      </w:r>
      <w:r>
        <w:rPr>
          <w:spacing w:val="-9"/>
        </w:rPr>
        <w:t> </w:t>
      </w:r>
      <w:r>
        <w:rPr/>
        <w:t>of</w:t>
      </w:r>
      <w:r>
        <w:rPr>
          <w:spacing w:val="-9"/>
        </w:rPr>
        <w:t> </w:t>
      </w:r>
      <w:r>
        <w:rPr/>
        <w:t>a</w:t>
      </w:r>
      <w:r>
        <w:rPr>
          <w:spacing w:val="-9"/>
        </w:rPr>
        <w:t> </w:t>
      </w:r>
      <w:r>
        <w:rPr/>
        <w:t>100</w:t>
      </w:r>
      <w:r>
        <w:rPr>
          <w:spacing w:val="-9"/>
        </w:rPr>
        <w:t> </w:t>
      </w:r>
      <w:r>
        <w:rPr/>
        <w:t>dollar</w:t>
      </w:r>
      <w:r>
        <w:rPr>
          <w:spacing w:val="-9"/>
        </w:rPr>
        <w:t> </w:t>
      </w:r>
      <w:r>
        <w:rPr/>
        <w:t>increase</w:t>
      </w:r>
      <w:r>
        <w:rPr>
          <w:spacing w:val="-9"/>
        </w:rPr>
        <w:t> </w:t>
      </w:r>
      <w:r>
        <w:rPr/>
        <w:t>in</w:t>
      </w:r>
      <w:r>
        <w:rPr>
          <w:spacing w:val="-9"/>
        </w:rPr>
        <w:t> </w:t>
      </w:r>
      <w:r>
        <w:rPr/>
        <w:t>oil</w:t>
      </w:r>
      <w:r>
        <w:rPr>
          <w:spacing w:val="-9"/>
        </w:rPr>
        <w:t> </w:t>
      </w:r>
      <w:r>
        <w:rPr/>
        <w:t>prices. Robust</w:t>
      </w:r>
      <w:r>
        <w:rPr>
          <w:spacing w:val="-4"/>
        </w:rPr>
        <w:t> </w:t>
      </w:r>
      <w:r>
        <w:rPr/>
        <w:t>standard</w:t>
      </w:r>
      <w:r>
        <w:rPr>
          <w:spacing w:val="-4"/>
        </w:rPr>
        <w:t> </w:t>
      </w:r>
      <w:r>
        <w:rPr/>
        <w:t>errors</w:t>
      </w:r>
      <w:r>
        <w:rPr>
          <w:spacing w:val="-4"/>
        </w:rPr>
        <w:t> </w:t>
      </w:r>
      <w:r>
        <w:rPr/>
        <w:t>in</w:t>
      </w:r>
      <w:r>
        <w:rPr>
          <w:spacing w:val="-4"/>
        </w:rPr>
        <w:t> </w:t>
      </w:r>
      <w:r>
        <w:rPr/>
        <w:t>parentheses.</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0.1;</w:t>
      </w:r>
      <w:r>
        <w:rPr>
          <w:spacing w:val="-4"/>
          <w:vertAlign w:val="baseline"/>
        </w:rPr>
        <w:t>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0.05;</w:t>
      </w:r>
      <w:r>
        <w:rPr>
          <w:spacing w:val="-4"/>
          <w:vertAlign w:val="baseline"/>
        </w:rPr>
        <w:t>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0.01</w:t>
      </w:r>
    </w:p>
    <w:p>
      <w:pPr>
        <w:spacing w:after="0" w:line="232" w:lineRule="auto"/>
        <w:jc w:val="both"/>
        <w:sectPr>
          <w:pgSz w:w="12240" w:h="15840"/>
          <w:pgMar w:header="0" w:footer="1252" w:top="1820" w:bottom="1440" w:left="1300" w:right="1200"/>
        </w:sectPr>
      </w:pPr>
    </w:p>
    <w:p>
      <w:pPr>
        <w:pStyle w:val="BodyText"/>
        <w:spacing w:line="316" w:lineRule="auto" w:before="49"/>
        <w:ind w:left="117" w:right="633" w:firstLine="298"/>
        <w:jc w:val="both"/>
      </w:pPr>
      <w:r>
        <w:rPr/>
        <w:t>Among the control variables, performance was largely in line with expectations based on similar models.</w:t>
      </w:r>
      <w:r>
        <w:rPr>
          <w:spacing w:val="35"/>
        </w:rPr>
        <w:t> </w:t>
      </w:r>
      <w:r>
        <w:rPr/>
        <w:t>Overall model fit was within an acceptable range.</w:t>
      </w:r>
      <w:r>
        <w:rPr>
          <w:spacing w:val="35"/>
        </w:rPr>
        <w:t> </w:t>
      </w:r>
      <w:r>
        <w:rPr/>
        <w:t>However, the number of observations was limited to fewer than 200, as most states in the dataset were not “oil states”.</w:t>
      </w:r>
      <w:r>
        <w:rPr>
          <w:spacing w:val="40"/>
        </w:rPr>
        <w:t> </w:t>
      </w:r>
      <w:r>
        <w:rPr/>
        <w:t>In response to this, in order</w:t>
      </w:r>
      <w:r>
        <w:rPr>
          <w:spacing w:val="-1"/>
        </w:rPr>
        <w:t> </w:t>
      </w:r>
      <w:r>
        <w:rPr/>
        <w:t>to</w:t>
      </w:r>
      <w:r>
        <w:rPr>
          <w:spacing w:val="-1"/>
        </w:rPr>
        <w:t> </w:t>
      </w:r>
      <w:r>
        <w:rPr/>
        <w:t>examine</w:t>
      </w:r>
      <w:r>
        <w:rPr>
          <w:spacing w:val="-1"/>
        </w:rPr>
        <w:t> </w:t>
      </w:r>
      <w:r>
        <w:rPr/>
        <w:t>the</w:t>
      </w:r>
      <w:r>
        <w:rPr>
          <w:spacing w:val="-1"/>
        </w:rPr>
        <w:t> </w:t>
      </w:r>
      <w:r>
        <w:rPr/>
        <w:t>robustness</w:t>
      </w:r>
      <w:r>
        <w:rPr>
          <w:spacing w:val="-1"/>
        </w:rPr>
        <w:t> </w:t>
      </w:r>
      <w:r>
        <w:rPr/>
        <w:t>of</w:t>
      </w:r>
      <w:r>
        <w:rPr>
          <w:spacing w:val="-1"/>
        </w:rPr>
        <w:t> </w:t>
      </w:r>
      <w:r>
        <w:rPr/>
        <w:t>these</w:t>
      </w:r>
      <w:r>
        <w:rPr>
          <w:spacing w:val="-1"/>
        </w:rPr>
        <w:t> </w:t>
      </w:r>
      <w:r>
        <w:rPr/>
        <w:t>findings,</w:t>
      </w:r>
      <w:r>
        <w:rPr>
          <w:spacing w:val="-1"/>
        </w:rPr>
        <w:t> </w:t>
      </w:r>
      <w:r>
        <w:rPr/>
        <w:t>and</w:t>
      </w:r>
      <w:r>
        <w:rPr>
          <w:spacing w:val="-1"/>
        </w:rPr>
        <w:t> </w:t>
      </w:r>
      <w:r>
        <w:rPr/>
        <w:t>to</w:t>
      </w:r>
      <w:r>
        <w:rPr>
          <w:spacing w:val="-1"/>
        </w:rPr>
        <w:t> </w:t>
      </w:r>
      <w:r>
        <w:rPr/>
        <w:t>determine</w:t>
      </w:r>
      <w:r>
        <w:rPr>
          <w:spacing w:val="-1"/>
        </w:rPr>
        <w:t> </w:t>
      </w:r>
      <w:r>
        <w:rPr/>
        <w:t>the</w:t>
      </w:r>
      <w:r>
        <w:rPr>
          <w:spacing w:val="-1"/>
        </w:rPr>
        <w:t> </w:t>
      </w:r>
      <w:r>
        <w:rPr/>
        <w:t>effect</w:t>
      </w:r>
      <w:r>
        <w:rPr>
          <w:spacing w:val="-1"/>
        </w:rPr>
        <w:t> </w:t>
      </w:r>
      <w:r>
        <w:rPr/>
        <w:t>that</w:t>
      </w:r>
      <w:r>
        <w:rPr>
          <w:spacing w:val="-1"/>
        </w:rPr>
        <w:t> </w:t>
      </w:r>
      <w:r>
        <w:rPr/>
        <w:t>oil</w:t>
      </w:r>
      <w:r>
        <w:rPr>
          <w:spacing w:val="-1"/>
        </w:rPr>
        <w:t> </w:t>
      </w:r>
      <w:r>
        <w:rPr/>
        <w:t>dependency</w:t>
      </w:r>
      <w:r>
        <w:rPr>
          <w:spacing w:val="-1"/>
        </w:rPr>
        <w:t> </w:t>
      </w:r>
      <w:r>
        <w:rPr/>
        <w:t>has on the size of the marginal effect, we tested two additional subsets of Model 4 in Table 1.</w:t>
      </w:r>
      <w:r>
        <w:rPr>
          <w:spacing w:val="40"/>
        </w:rPr>
        <w:t> </w:t>
      </w:r>
      <w:r>
        <w:rPr/>
        <w:t>The first additional subset was tested using only extreme oil states and the second was tested using all states in the set.</w:t>
      </w:r>
    </w:p>
    <w:p>
      <w:pPr>
        <w:pStyle w:val="BodyText"/>
        <w:spacing w:line="316" w:lineRule="auto" w:before="135"/>
        <w:ind w:left="117" w:right="632" w:firstLine="298"/>
        <w:jc w:val="both"/>
      </w:pPr>
      <w:r>
        <w:rPr/>
        <w:t>As the figure below illustrates, the effect of oil prices increases was most pronounced for the most oil-reliant states.</w:t>
      </w:r>
      <w:r>
        <w:rPr>
          <w:spacing w:val="40"/>
        </w:rPr>
        <w:t> </w:t>
      </w:r>
      <w:r>
        <w:rPr/>
        <w:t>By contrast, among non-oil states, there was no statistically significant effect.</w:t>
      </w:r>
      <w:r>
        <w:rPr>
          <w:spacing w:val="40"/>
        </w:rPr>
        <w:t> </w:t>
      </w:r>
      <w:r>
        <w:rPr/>
        <w:t>This all</w:t>
      </w:r>
      <w:r>
        <w:rPr>
          <w:spacing w:val="-3"/>
        </w:rPr>
        <w:t> </w:t>
      </w:r>
      <w:r>
        <w:rPr/>
        <w:t>indicates</w:t>
      </w:r>
      <w:r>
        <w:rPr>
          <w:spacing w:val="-3"/>
        </w:rPr>
        <w:t> </w:t>
      </w:r>
      <w:r>
        <w:rPr/>
        <w:t>that</w:t>
      </w:r>
      <w:r>
        <w:rPr>
          <w:spacing w:val="-3"/>
        </w:rPr>
        <w:t> </w:t>
      </w:r>
      <w:r>
        <w:rPr/>
        <w:t>oil</w:t>
      </w:r>
      <w:r>
        <w:rPr>
          <w:spacing w:val="-3"/>
        </w:rPr>
        <w:t> </w:t>
      </w:r>
      <w:r>
        <w:rPr/>
        <w:t>price</w:t>
      </w:r>
      <w:r>
        <w:rPr>
          <w:spacing w:val="-3"/>
        </w:rPr>
        <w:t> </w:t>
      </w:r>
      <w:r>
        <w:rPr/>
        <w:t>increases</w:t>
      </w:r>
      <w:r>
        <w:rPr>
          <w:spacing w:val="-3"/>
        </w:rPr>
        <w:t> </w:t>
      </w:r>
      <w:r>
        <w:rPr/>
        <w:t>have</w:t>
      </w:r>
      <w:r>
        <w:rPr>
          <w:spacing w:val="-3"/>
        </w:rPr>
        <w:t> </w:t>
      </w:r>
      <w:r>
        <w:rPr/>
        <w:t>conflict-reducing</w:t>
      </w:r>
      <w:r>
        <w:rPr>
          <w:spacing w:val="-3"/>
        </w:rPr>
        <w:t> </w:t>
      </w:r>
      <w:r>
        <w:rPr/>
        <w:t>impacts</w:t>
      </w:r>
      <w:r>
        <w:rPr>
          <w:spacing w:val="-3"/>
        </w:rPr>
        <w:t> </w:t>
      </w:r>
      <w:r>
        <w:rPr/>
        <w:t>to</w:t>
      </w:r>
      <w:r>
        <w:rPr>
          <w:spacing w:val="-3"/>
        </w:rPr>
        <w:t> </w:t>
      </w:r>
      <w:r>
        <w:rPr/>
        <w:t>state</w:t>
      </w:r>
      <w:r>
        <w:rPr>
          <w:spacing w:val="-3"/>
        </w:rPr>
        <w:t> </w:t>
      </w:r>
      <w:r>
        <w:rPr/>
        <w:t>capacity</w:t>
      </w:r>
      <w:r>
        <w:rPr>
          <w:spacing w:val="-3"/>
        </w:rPr>
        <w:t> </w:t>
      </w:r>
      <w:r>
        <w:rPr/>
        <w:t>in</w:t>
      </w:r>
      <w:r>
        <w:rPr>
          <w:spacing w:val="-3"/>
        </w:rPr>
        <w:t> </w:t>
      </w:r>
      <w:r>
        <w:rPr/>
        <w:t>these</w:t>
      </w:r>
      <w:r>
        <w:rPr>
          <w:spacing w:val="-3"/>
        </w:rPr>
        <w:t> </w:t>
      </w:r>
      <w:r>
        <w:rPr/>
        <w:t>oil-reliant states.</w:t>
      </w:r>
      <w:r>
        <w:rPr>
          <w:spacing w:val="38"/>
        </w:rPr>
        <w:t> </w:t>
      </w:r>
      <w:r>
        <w:rPr/>
        <w:t>However, in order to provide an additional examination of the robustness of this observation, we</w:t>
      </w:r>
      <w:r>
        <w:rPr>
          <w:spacing w:val="-1"/>
        </w:rPr>
        <w:t> </w:t>
      </w:r>
      <w:r>
        <w:rPr/>
        <w:t>also</w:t>
      </w:r>
      <w:r>
        <w:rPr>
          <w:spacing w:val="-1"/>
        </w:rPr>
        <w:t> </w:t>
      </w:r>
      <w:r>
        <w:rPr/>
        <w:t>examined</w:t>
      </w:r>
      <w:r>
        <w:rPr>
          <w:spacing w:val="-1"/>
        </w:rPr>
        <w:t> </w:t>
      </w:r>
      <w:r>
        <w:rPr/>
        <w:t>the entire set</w:t>
      </w:r>
      <w:r>
        <w:rPr>
          <w:spacing w:val="-1"/>
        </w:rPr>
        <w:t> </w:t>
      </w:r>
      <w:r>
        <w:rPr/>
        <w:t>of</w:t>
      </w:r>
      <w:r>
        <w:rPr>
          <w:spacing w:val="-1"/>
        </w:rPr>
        <w:t> </w:t>
      </w:r>
      <w:r>
        <w:rPr/>
        <w:t>cases</w:t>
      </w:r>
      <w:r>
        <w:rPr>
          <w:spacing w:val="-1"/>
        </w:rPr>
        <w:t> </w:t>
      </w:r>
      <w:r>
        <w:rPr/>
        <w:t>using an</w:t>
      </w:r>
      <w:r>
        <w:rPr>
          <w:spacing w:val="-1"/>
        </w:rPr>
        <w:t> </w:t>
      </w:r>
      <w:r>
        <w:rPr/>
        <w:t>interactive</w:t>
      </w:r>
      <w:r>
        <w:rPr>
          <w:spacing w:val="-1"/>
        </w:rPr>
        <w:t> </w:t>
      </w:r>
      <w:r>
        <w:rPr/>
        <w:t>term between</w:t>
      </w:r>
      <w:r>
        <w:rPr>
          <w:spacing w:val="-1"/>
        </w:rPr>
        <w:t> </w:t>
      </w:r>
      <w:r>
        <w:rPr/>
        <w:t>oil</w:t>
      </w:r>
      <w:r>
        <w:rPr>
          <w:spacing w:val="-1"/>
        </w:rPr>
        <w:t> </w:t>
      </w:r>
      <w:r>
        <w:rPr/>
        <w:t>price and</w:t>
      </w:r>
      <w:r>
        <w:rPr>
          <w:spacing w:val="-1"/>
        </w:rPr>
        <w:t> </w:t>
      </w:r>
      <w:r>
        <w:rPr/>
        <w:t>the level</w:t>
      </w:r>
      <w:r>
        <w:rPr>
          <w:spacing w:val="-1"/>
        </w:rPr>
        <w:t> </w:t>
      </w:r>
      <w:r>
        <w:rPr/>
        <w:t>of</w:t>
      </w:r>
      <w:r>
        <w:rPr>
          <w:spacing w:val="-1"/>
        </w:rPr>
        <w:t> </w:t>
      </w:r>
      <w:r>
        <w:rPr/>
        <w:t>oil </w:t>
      </w:r>
      <w:r>
        <w:rPr>
          <w:spacing w:val="-2"/>
        </w:rPr>
        <w:t>rents.</w:t>
      </w:r>
    </w:p>
    <w:p>
      <w:pPr>
        <w:pStyle w:val="BodyText"/>
        <w:spacing w:before="6"/>
        <w:rPr>
          <w:sz w:val="14"/>
        </w:rPr>
      </w:pPr>
      <w:r>
        <w:rPr/>
        <w:drawing>
          <wp:anchor distT="0" distB="0" distL="0" distR="0" allowOverlap="1" layoutInCell="1" locked="0" behindDoc="0" simplePos="0" relativeHeight="13">
            <wp:simplePos x="0" y="0"/>
            <wp:positionH relativeFrom="page">
              <wp:posOffset>1069275</wp:posOffset>
            </wp:positionH>
            <wp:positionV relativeFrom="paragraph">
              <wp:posOffset>120629</wp:posOffset>
            </wp:positionV>
            <wp:extent cx="5317998" cy="2048255"/>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12" cstate="print"/>
                    <a:stretch>
                      <a:fillRect/>
                    </a:stretch>
                  </pic:blipFill>
                  <pic:spPr>
                    <a:xfrm>
                      <a:off x="0" y="0"/>
                      <a:ext cx="5317998" cy="2048255"/>
                    </a:xfrm>
                    <a:prstGeom prst="rect">
                      <a:avLst/>
                    </a:prstGeom>
                  </pic:spPr>
                </pic:pic>
              </a:graphicData>
            </a:graphic>
          </wp:anchor>
        </w:drawing>
      </w:r>
    </w:p>
    <w:p>
      <w:pPr>
        <w:pStyle w:val="BodyText"/>
      </w:pPr>
    </w:p>
    <w:p>
      <w:pPr>
        <w:pStyle w:val="BodyText"/>
        <w:spacing w:line="316" w:lineRule="auto" w:before="162"/>
        <w:ind w:left="117" w:right="634" w:firstLine="298"/>
        <w:jc w:val="both"/>
      </w:pPr>
      <w:r>
        <w:rPr/>
        <w:t>In</w:t>
      </w:r>
      <w:r>
        <w:rPr>
          <w:spacing w:val="-1"/>
        </w:rPr>
        <w:t> </w:t>
      </w:r>
      <w:r>
        <w:rPr/>
        <w:t>order</w:t>
      </w:r>
      <w:r>
        <w:rPr>
          <w:spacing w:val="-1"/>
        </w:rPr>
        <w:t> </w:t>
      </w:r>
      <w:r>
        <w:rPr/>
        <w:t>to</w:t>
      </w:r>
      <w:r>
        <w:rPr>
          <w:spacing w:val="-1"/>
        </w:rPr>
        <w:t> </w:t>
      </w:r>
      <w:r>
        <w:rPr/>
        <w:t>operationalize</w:t>
      </w:r>
      <w:r>
        <w:rPr>
          <w:spacing w:val="-1"/>
        </w:rPr>
        <w:t> </w:t>
      </w:r>
      <w:r>
        <w:rPr/>
        <w:t>a</w:t>
      </w:r>
      <w:r>
        <w:rPr>
          <w:spacing w:val="-1"/>
        </w:rPr>
        <w:t> </w:t>
      </w:r>
      <w:r>
        <w:rPr/>
        <w:t>test</w:t>
      </w:r>
      <w:r>
        <w:rPr>
          <w:spacing w:val="-1"/>
        </w:rPr>
        <w:t> </w:t>
      </w:r>
      <w:r>
        <w:rPr/>
        <w:t>using</w:t>
      </w:r>
      <w:r>
        <w:rPr>
          <w:spacing w:val="-1"/>
        </w:rPr>
        <w:t> </w:t>
      </w:r>
      <w:r>
        <w:rPr/>
        <w:t>all</w:t>
      </w:r>
      <w:r>
        <w:rPr>
          <w:spacing w:val="-1"/>
        </w:rPr>
        <w:t> </w:t>
      </w:r>
      <w:r>
        <w:rPr/>
        <w:t>of</w:t>
      </w:r>
      <w:r>
        <w:rPr>
          <w:spacing w:val="-1"/>
        </w:rPr>
        <w:t> </w:t>
      </w:r>
      <w:r>
        <w:rPr/>
        <w:t>the</w:t>
      </w:r>
      <w:r>
        <w:rPr>
          <w:spacing w:val="-1"/>
        </w:rPr>
        <w:t> </w:t>
      </w:r>
      <w:r>
        <w:rPr/>
        <w:t>data, we</w:t>
      </w:r>
      <w:r>
        <w:rPr>
          <w:spacing w:val="-1"/>
        </w:rPr>
        <w:t> </w:t>
      </w:r>
      <w:r>
        <w:rPr/>
        <w:t>employed</w:t>
      </w:r>
      <w:r>
        <w:rPr>
          <w:spacing w:val="-1"/>
        </w:rPr>
        <w:t> </w:t>
      </w:r>
      <w:r>
        <w:rPr/>
        <w:t>the</w:t>
      </w:r>
      <w:r>
        <w:rPr>
          <w:spacing w:val="-1"/>
        </w:rPr>
        <w:t> </w:t>
      </w:r>
      <w:r>
        <w:rPr/>
        <w:t>variable</w:t>
      </w:r>
      <w:r>
        <w:rPr>
          <w:spacing w:val="-1"/>
        </w:rPr>
        <w:t> </w:t>
      </w:r>
      <w:r>
        <w:rPr/>
        <w:t>measuring</w:t>
      </w:r>
      <w:r>
        <w:rPr>
          <w:spacing w:val="-1"/>
        </w:rPr>
        <w:t> </w:t>
      </w:r>
      <w:r>
        <w:rPr/>
        <w:t>oil</w:t>
      </w:r>
      <w:r>
        <w:rPr>
          <w:spacing w:val="-1"/>
        </w:rPr>
        <w:t> </w:t>
      </w:r>
      <w:r>
        <w:rPr/>
        <w:t>rents as a percentage of GDP directly into the model.</w:t>
      </w:r>
      <w:r>
        <w:rPr>
          <w:spacing w:val="25"/>
        </w:rPr>
        <w:t> </w:t>
      </w:r>
      <w:r>
        <w:rPr/>
        <w:t>The term was multiplied with the variable measuring the</w:t>
      </w:r>
      <w:r>
        <w:rPr>
          <w:spacing w:val="-13"/>
        </w:rPr>
        <w:t> </w:t>
      </w:r>
      <w:r>
        <w:rPr/>
        <w:t>price</w:t>
      </w:r>
      <w:r>
        <w:rPr>
          <w:spacing w:val="-12"/>
        </w:rPr>
        <w:t> </w:t>
      </w:r>
      <w:r>
        <w:rPr/>
        <w:t>of</w:t>
      </w:r>
      <w:r>
        <w:rPr>
          <w:spacing w:val="-12"/>
        </w:rPr>
        <w:t> </w:t>
      </w:r>
      <w:r>
        <w:rPr/>
        <w:t>oil</w:t>
      </w:r>
      <w:r>
        <w:rPr>
          <w:spacing w:val="-12"/>
        </w:rPr>
        <w:t> </w:t>
      </w:r>
      <w:r>
        <w:rPr/>
        <w:t>to</w:t>
      </w:r>
      <w:r>
        <w:rPr>
          <w:spacing w:val="-12"/>
        </w:rPr>
        <w:t> </w:t>
      </w:r>
      <w:r>
        <w:rPr/>
        <w:t>form</w:t>
      </w:r>
      <w:r>
        <w:rPr>
          <w:spacing w:val="-12"/>
        </w:rPr>
        <w:t> </w:t>
      </w:r>
      <w:r>
        <w:rPr/>
        <w:t>an</w:t>
      </w:r>
      <w:r>
        <w:rPr>
          <w:spacing w:val="-12"/>
        </w:rPr>
        <w:t> </w:t>
      </w:r>
      <w:r>
        <w:rPr/>
        <w:t>interactive</w:t>
      </w:r>
      <w:r>
        <w:rPr>
          <w:spacing w:val="-12"/>
        </w:rPr>
        <w:t> </w:t>
      </w:r>
      <w:r>
        <w:rPr/>
        <w:t>term.</w:t>
      </w:r>
      <w:r>
        <w:rPr>
          <w:spacing w:val="-12"/>
        </w:rPr>
        <w:t> </w:t>
      </w:r>
      <w:r>
        <w:rPr/>
        <w:t>As</w:t>
      </w:r>
      <w:r>
        <w:rPr>
          <w:spacing w:val="-12"/>
        </w:rPr>
        <w:t> </w:t>
      </w:r>
      <w:r>
        <w:rPr/>
        <w:t>before,</w:t>
      </w:r>
      <w:r>
        <w:rPr>
          <w:spacing w:val="-12"/>
        </w:rPr>
        <w:t> </w:t>
      </w:r>
      <w:r>
        <w:rPr/>
        <w:t>our</w:t>
      </w:r>
      <w:r>
        <w:rPr>
          <w:spacing w:val="-12"/>
        </w:rPr>
        <w:t> </w:t>
      </w:r>
      <w:r>
        <w:rPr/>
        <w:t>standard</w:t>
      </w:r>
      <w:r>
        <w:rPr>
          <w:spacing w:val="-12"/>
        </w:rPr>
        <w:t> </w:t>
      </w:r>
      <w:r>
        <w:rPr/>
        <w:t>specification</w:t>
      </w:r>
      <w:r>
        <w:rPr>
          <w:spacing w:val="-12"/>
        </w:rPr>
        <w:t> </w:t>
      </w:r>
      <w:r>
        <w:rPr/>
        <w:t>approach</w:t>
      </w:r>
      <w:r>
        <w:rPr>
          <w:spacing w:val="-12"/>
        </w:rPr>
        <w:t> </w:t>
      </w:r>
      <w:r>
        <w:rPr/>
        <w:t>for</w:t>
      </w:r>
      <w:r>
        <w:rPr>
          <w:spacing w:val="-12"/>
        </w:rPr>
        <w:t> </w:t>
      </w:r>
      <w:r>
        <w:rPr/>
        <w:t>all</w:t>
      </w:r>
      <w:r>
        <w:rPr>
          <w:spacing w:val="-13"/>
        </w:rPr>
        <w:t> </w:t>
      </w:r>
      <w:r>
        <w:rPr/>
        <w:t>models was</w:t>
      </w:r>
      <w:r>
        <w:rPr>
          <w:spacing w:val="-12"/>
        </w:rPr>
        <w:t> </w:t>
      </w:r>
      <w:r>
        <w:rPr/>
        <w:t>to</w:t>
      </w:r>
      <w:r>
        <w:rPr>
          <w:spacing w:val="-12"/>
        </w:rPr>
        <w:t> </w:t>
      </w:r>
      <w:r>
        <w:rPr/>
        <w:t>use</w:t>
      </w:r>
      <w:r>
        <w:rPr>
          <w:spacing w:val="-12"/>
        </w:rPr>
        <w:t> </w:t>
      </w:r>
      <w:r>
        <w:rPr/>
        <w:t>ordinary-least-squares</w:t>
      </w:r>
      <w:r>
        <w:rPr>
          <w:spacing w:val="-12"/>
        </w:rPr>
        <w:t> </w:t>
      </w:r>
      <w:r>
        <w:rPr/>
        <w:t>(OLS)</w:t>
      </w:r>
      <w:r>
        <w:rPr>
          <w:spacing w:val="-12"/>
        </w:rPr>
        <w:t> </w:t>
      </w:r>
      <w:r>
        <w:rPr/>
        <w:t>regression</w:t>
      </w:r>
      <w:r>
        <w:rPr>
          <w:spacing w:val="-12"/>
        </w:rPr>
        <w:t> </w:t>
      </w:r>
      <w:r>
        <w:rPr/>
        <w:t>models</w:t>
      </w:r>
      <w:r>
        <w:rPr>
          <w:spacing w:val="-12"/>
        </w:rPr>
        <w:t> </w:t>
      </w:r>
      <w:r>
        <w:rPr/>
        <w:t>with</w:t>
      </w:r>
      <w:r>
        <w:rPr>
          <w:spacing w:val="-12"/>
        </w:rPr>
        <w:t> </w:t>
      </w:r>
      <w:r>
        <w:rPr/>
        <w:t>two-way</w:t>
      </w:r>
      <w:r>
        <w:rPr>
          <w:spacing w:val="-12"/>
        </w:rPr>
        <w:t> </w:t>
      </w:r>
      <w:r>
        <w:rPr/>
        <w:t>fixed</w:t>
      </w:r>
      <w:r>
        <w:rPr>
          <w:spacing w:val="-12"/>
        </w:rPr>
        <w:t> </w:t>
      </w:r>
      <w:r>
        <w:rPr/>
        <w:t>effects</w:t>
      </w:r>
      <w:r>
        <w:rPr>
          <w:spacing w:val="-12"/>
        </w:rPr>
        <w:t> </w:t>
      </w:r>
      <w:r>
        <w:rPr/>
        <w:t>for</w:t>
      </w:r>
      <w:r>
        <w:rPr>
          <w:spacing w:val="-12"/>
        </w:rPr>
        <w:t> </w:t>
      </w:r>
      <w:r>
        <w:rPr/>
        <w:t>time</w:t>
      </w:r>
      <w:r>
        <w:rPr>
          <w:spacing w:val="-12"/>
        </w:rPr>
        <w:t> </w:t>
      </w:r>
      <w:r>
        <w:rPr/>
        <w:t>(by</w:t>
      </w:r>
      <w:r>
        <w:rPr>
          <w:spacing w:val="-12"/>
        </w:rPr>
        <w:t> </w:t>
      </w:r>
      <w:r>
        <w:rPr/>
        <w:t>year) and state errors.</w:t>
      </w:r>
      <w:r>
        <w:rPr>
          <w:spacing w:val="28"/>
        </w:rPr>
        <w:t> </w:t>
      </w:r>
      <w:r>
        <w:rPr/>
        <w:t>The formal specifications for these models can be viewed in the appendix.</w:t>
      </w:r>
    </w:p>
    <w:p>
      <w:pPr>
        <w:pStyle w:val="BodyText"/>
        <w:spacing w:line="316" w:lineRule="auto" w:before="137"/>
        <w:ind w:left="117" w:right="632" w:firstLine="298"/>
        <w:jc w:val="both"/>
      </w:pPr>
      <w:r>
        <w:rPr/>
        <w:t>Observing</w:t>
      </w:r>
      <w:r>
        <w:rPr>
          <w:spacing w:val="-7"/>
        </w:rPr>
        <w:t> </w:t>
      </w:r>
      <w:r>
        <w:rPr/>
        <w:t>the</w:t>
      </w:r>
      <w:r>
        <w:rPr>
          <w:spacing w:val="-7"/>
        </w:rPr>
        <w:t> </w:t>
      </w:r>
      <w:r>
        <w:rPr/>
        <w:t>results</w:t>
      </w:r>
      <w:r>
        <w:rPr>
          <w:spacing w:val="-7"/>
        </w:rPr>
        <w:t> </w:t>
      </w:r>
      <w:r>
        <w:rPr/>
        <w:t>of</w:t>
      </w:r>
      <w:r>
        <w:rPr>
          <w:spacing w:val="-7"/>
        </w:rPr>
        <w:t> </w:t>
      </w:r>
      <w:r>
        <w:rPr/>
        <w:t>these</w:t>
      </w:r>
      <w:r>
        <w:rPr>
          <w:spacing w:val="-7"/>
        </w:rPr>
        <w:t> </w:t>
      </w:r>
      <w:r>
        <w:rPr/>
        <w:t>four</w:t>
      </w:r>
      <w:r>
        <w:rPr>
          <w:spacing w:val="-7"/>
        </w:rPr>
        <w:t> </w:t>
      </w:r>
      <w:r>
        <w:rPr/>
        <w:t>interactive</w:t>
      </w:r>
      <w:r>
        <w:rPr>
          <w:spacing w:val="-7"/>
        </w:rPr>
        <w:t> </w:t>
      </w:r>
      <w:r>
        <w:rPr/>
        <w:t>models</w:t>
      </w:r>
      <w:r>
        <w:rPr>
          <w:spacing w:val="-7"/>
        </w:rPr>
        <w:t> </w:t>
      </w:r>
      <w:r>
        <w:rPr/>
        <w:t>in</w:t>
      </w:r>
      <w:r>
        <w:rPr>
          <w:spacing w:val="-7"/>
        </w:rPr>
        <w:t> </w:t>
      </w:r>
      <w:r>
        <w:rPr/>
        <w:t>Table</w:t>
      </w:r>
      <w:r>
        <w:rPr>
          <w:spacing w:val="-7"/>
        </w:rPr>
        <w:t> </w:t>
      </w:r>
      <w:r>
        <w:rPr/>
        <w:t>2</w:t>
      </w:r>
      <w:r>
        <w:rPr>
          <w:spacing w:val="-7"/>
        </w:rPr>
        <w:t> </w:t>
      </w:r>
      <w:r>
        <w:rPr/>
        <w:t>below,</w:t>
      </w:r>
      <w:r>
        <w:rPr>
          <w:spacing w:val="-6"/>
        </w:rPr>
        <w:t> </w:t>
      </w:r>
      <w:r>
        <w:rPr/>
        <w:t>we</w:t>
      </w:r>
      <w:r>
        <w:rPr>
          <w:spacing w:val="-7"/>
        </w:rPr>
        <w:t> </w:t>
      </w:r>
      <w:r>
        <w:rPr/>
        <w:t>see</w:t>
      </w:r>
      <w:r>
        <w:rPr>
          <w:spacing w:val="-7"/>
        </w:rPr>
        <w:t> </w:t>
      </w:r>
      <w:r>
        <w:rPr/>
        <w:t>that</w:t>
      </w:r>
      <w:r>
        <w:rPr>
          <w:spacing w:val="-7"/>
        </w:rPr>
        <w:t> </w:t>
      </w:r>
      <w:r>
        <w:rPr/>
        <w:t>both</w:t>
      </w:r>
      <w:r>
        <w:rPr>
          <w:spacing w:val="-7"/>
        </w:rPr>
        <w:t> </w:t>
      </w:r>
      <w:r>
        <w:rPr/>
        <w:t>the</w:t>
      </w:r>
      <w:r>
        <w:rPr>
          <w:spacing w:val="-7"/>
        </w:rPr>
        <w:t> </w:t>
      </w:r>
      <w:r>
        <w:rPr/>
        <w:t>current and</w:t>
      </w:r>
      <w:r>
        <w:rPr>
          <w:spacing w:val="-9"/>
        </w:rPr>
        <w:t> </w:t>
      </w:r>
      <w:r>
        <w:rPr/>
        <w:t>prior</w:t>
      </w:r>
      <w:r>
        <w:rPr>
          <w:spacing w:val="-9"/>
        </w:rPr>
        <w:t> </w:t>
      </w:r>
      <w:r>
        <w:rPr/>
        <w:t>year</w:t>
      </w:r>
      <w:r>
        <w:rPr>
          <w:spacing w:val="-9"/>
        </w:rPr>
        <w:t> </w:t>
      </w:r>
      <w:r>
        <w:rPr/>
        <w:t>percentage</w:t>
      </w:r>
      <w:r>
        <w:rPr>
          <w:spacing w:val="-9"/>
        </w:rPr>
        <w:t> </w:t>
      </w:r>
      <w:r>
        <w:rPr/>
        <w:t>change</w:t>
      </w:r>
      <w:r>
        <w:rPr>
          <w:spacing w:val="-9"/>
        </w:rPr>
        <w:t> </w:t>
      </w:r>
      <w:r>
        <w:rPr/>
        <w:t>in</w:t>
      </w:r>
      <w:r>
        <w:rPr>
          <w:spacing w:val="-9"/>
        </w:rPr>
        <w:t> </w:t>
      </w:r>
      <w:r>
        <w:rPr/>
        <w:t>oil</w:t>
      </w:r>
      <w:r>
        <w:rPr>
          <w:spacing w:val="-9"/>
        </w:rPr>
        <w:t> </w:t>
      </w:r>
      <w:r>
        <w:rPr/>
        <w:t>price</w:t>
      </w:r>
      <w:r>
        <w:rPr>
          <w:spacing w:val="-9"/>
        </w:rPr>
        <w:t> </w:t>
      </w:r>
      <w:r>
        <w:rPr/>
        <w:t>are</w:t>
      </w:r>
      <w:r>
        <w:rPr>
          <w:spacing w:val="-9"/>
        </w:rPr>
        <w:t> </w:t>
      </w:r>
      <w:r>
        <w:rPr/>
        <w:t>negatively</w:t>
      </w:r>
      <w:r>
        <w:rPr>
          <w:spacing w:val="-9"/>
        </w:rPr>
        <w:t> </w:t>
      </w:r>
      <w:r>
        <w:rPr/>
        <w:t>associated</w:t>
      </w:r>
      <w:r>
        <w:rPr>
          <w:spacing w:val="-9"/>
        </w:rPr>
        <w:t> </w:t>
      </w:r>
      <w:r>
        <w:rPr/>
        <w:t>with</w:t>
      </w:r>
      <w:r>
        <w:rPr>
          <w:spacing w:val="-9"/>
        </w:rPr>
        <w:t> </w:t>
      </w:r>
      <w:r>
        <w:rPr/>
        <w:t>the</w:t>
      </w:r>
      <w:r>
        <w:rPr>
          <w:spacing w:val="-9"/>
        </w:rPr>
        <w:t> </w:t>
      </w:r>
      <w:r>
        <w:rPr/>
        <w:t>number</w:t>
      </w:r>
      <w:r>
        <w:rPr>
          <w:spacing w:val="-9"/>
        </w:rPr>
        <w:t> </w:t>
      </w:r>
      <w:r>
        <w:rPr/>
        <w:t>of</w:t>
      </w:r>
      <w:r>
        <w:rPr>
          <w:spacing w:val="-9"/>
        </w:rPr>
        <w:t> </w:t>
      </w:r>
      <w:r>
        <w:rPr/>
        <w:t>battle</w:t>
      </w:r>
      <w:r>
        <w:rPr>
          <w:spacing w:val="-9"/>
        </w:rPr>
        <w:t> </w:t>
      </w:r>
      <w:r>
        <w:rPr/>
        <w:t>deaths in</w:t>
      </w:r>
      <w:r>
        <w:rPr>
          <w:spacing w:val="-7"/>
        </w:rPr>
        <w:t> </w:t>
      </w:r>
      <w:r>
        <w:rPr/>
        <w:t>ongoing</w:t>
      </w:r>
      <w:r>
        <w:rPr>
          <w:spacing w:val="-8"/>
        </w:rPr>
        <w:t> </w:t>
      </w:r>
      <w:r>
        <w:rPr/>
        <w:t>conflicts.</w:t>
      </w:r>
      <w:r>
        <w:rPr>
          <w:spacing w:val="10"/>
        </w:rPr>
        <w:t> </w:t>
      </w:r>
      <w:r>
        <w:rPr/>
        <w:t>In</w:t>
      </w:r>
      <w:r>
        <w:rPr>
          <w:spacing w:val="-8"/>
        </w:rPr>
        <w:t> </w:t>
      </w:r>
      <w:r>
        <w:rPr/>
        <w:t>both</w:t>
      </w:r>
      <w:r>
        <w:rPr>
          <w:spacing w:val="-8"/>
        </w:rPr>
        <w:t> </w:t>
      </w:r>
      <w:r>
        <w:rPr/>
        <w:t>cases,</w:t>
      </w:r>
      <w:r>
        <w:rPr>
          <w:spacing w:val="-7"/>
        </w:rPr>
        <w:t> </w:t>
      </w:r>
      <w:r>
        <w:rPr/>
        <w:t>a</w:t>
      </w:r>
      <w:r>
        <w:rPr>
          <w:spacing w:val="-8"/>
        </w:rPr>
        <w:t> </w:t>
      </w:r>
      <w:r>
        <w:rPr/>
        <w:t>100%</w:t>
      </w:r>
      <w:r>
        <w:rPr>
          <w:spacing w:val="-8"/>
        </w:rPr>
        <w:t> </w:t>
      </w:r>
      <w:r>
        <w:rPr/>
        <w:t>increase</w:t>
      </w:r>
      <w:r>
        <w:rPr>
          <w:spacing w:val="-7"/>
        </w:rPr>
        <w:t> </w:t>
      </w:r>
      <w:r>
        <w:rPr/>
        <w:t>in</w:t>
      </w:r>
      <w:r>
        <w:rPr>
          <w:spacing w:val="-8"/>
        </w:rPr>
        <w:t> </w:t>
      </w:r>
      <w:r>
        <w:rPr/>
        <w:t>the</w:t>
      </w:r>
      <w:r>
        <w:rPr>
          <w:spacing w:val="-7"/>
        </w:rPr>
        <w:t> </w:t>
      </w:r>
      <w:r>
        <w:rPr/>
        <w:t>price</w:t>
      </w:r>
      <w:r>
        <w:rPr>
          <w:spacing w:val="-7"/>
        </w:rPr>
        <w:t> </w:t>
      </w:r>
      <w:r>
        <w:rPr/>
        <w:t>of</w:t>
      </w:r>
      <w:r>
        <w:rPr>
          <w:spacing w:val="-8"/>
        </w:rPr>
        <w:t> </w:t>
      </w:r>
      <w:r>
        <w:rPr/>
        <w:t>oil</w:t>
      </w:r>
      <w:r>
        <w:rPr>
          <w:spacing w:val="-8"/>
        </w:rPr>
        <w:t> </w:t>
      </w:r>
      <w:r>
        <w:rPr/>
        <w:t>during</w:t>
      </w:r>
      <w:r>
        <w:rPr>
          <w:spacing w:val="-8"/>
        </w:rPr>
        <w:t> </w:t>
      </w:r>
      <w:r>
        <w:rPr/>
        <w:t>the</w:t>
      </w:r>
      <w:r>
        <w:rPr>
          <w:spacing w:val="-7"/>
        </w:rPr>
        <w:t> </w:t>
      </w:r>
      <w:r>
        <w:rPr/>
        <w:t>current</w:t>
      </w:r>
      <w:r>
        <w:rPr>
          <w:spacing w:val="-7"/>
        </w:rPr>
        <w:t> </w:t>
      </w:r>
      <w:r>
        <w:rPr/>
        <w:t>or</w:t>
      </w:r>
      <w:r>
        <w:rPr>
          <w:spacing w:val="-8"/>
        </w:rPr>
        <w:t> </w:t>
      </w:r>
      <w:r>
        <w:rPr/>
        <w:t>prior</w:t>
      </w:r>
      <w:r>
        <w:rPr>
          <w:spacing w:val="-7"/>
        </w:rPr>
        <w:t> </w:t>
      </w:r>
      <w:r>
        <w:rPr/>
        <w:t>year</w:t>
      </w:r>
      <w:r>
        <w:rPr>
          <w:spacing w:val="-7"/>
        </w:rPr>
        <w:t> </w:t>
      </w:r>
      <w:r>
        <w:rPr/>
        <w:t>is associated with roughly 60 fewer fatalities per year.</w:t>
      </w:r>
      <w:r>
        <w:rPr>
          <w:spacing w:val="24"/>
        </w:rPr>
        <w:t> </w:t>
      </w:r>
      <w:r>
        <w:rPr/>
        <w:t>Substantively speaking, the effect from oil shocks is modest.</w:t>
      </w:r>
      <w:r>
        <w:rPr>
          <w:spacing w:val="28"/>
        </w:rPr>
        <w:t> </w:t>
      </w:r>
      <w:r>
        <w:rPr/>
        <w:t>However, it represents the average across the entire dataset.</w:t>
      </w:r>
      <w:r>
        <w:rPr>
          <w:spacing w:val="28"/>
        </w:rPr>
        <w:t> </w:t>
      </w:r>
      <w:r>
        <w:rPr/>
        <w:t>The marginal effect increases significantly as the level of oil dependence increases.</w:t>
      </w:r>
      <w:r>
        <w:rPr>
          <w:spacing w:val="22"/>
        </w:rPr>
        <w:t> </w:t>
      </w:r>
      <w:r>
        <w:rPr/>
        <w:t>This is discussed more below.</w:t>
      </w:r>
    </w:p>
    <w:p>
      <w:pPr>
        <w:pStyle w:val="BodyText"/>
        <w:spacing w:line="316" w:lineRule="auto" w:before="135"/>
        <w:ind w:left="117" w:right="633" w:firstLine="298"/>
        <w:jc w:val="both"/>
      </w:pPr>
      <w:r>
        <w:rPr/>
        <w:t>Among</w:t>
      </w:r>
      <w:r>
        <w:rPr>
          <w:spacing w:val="-3"/>
        </w:rPr>
        <w:t> </w:t>
      </w:r>
      <w:r>
        <w:rPr/>
        <w:t>the</w:t>
      </w:r>
      <w:r>
        <w:rPr>
          <w:spacing w:val="-3"/>
        </w:rPr>
        <w:t> </w:t>
      </w:r>
      <w:r>
        <w:rPr/>
        <w:t>control</w:t>
      </w:r>
      <w:r>
        <w:rPr>
          <w:spacing w:val="-3"/>
        </w:rPr>
        <w:t> </w:t>
      </w:r>
      <w:r>
        <w:rPr/>
        <w:t>variables,</w:t>
      </w:r>
      <w:r>
        <w:rPr>
          <w:spacing w:val="-3"/>
        </w:rPr>
        <w:t> </w:t>
      </w:r>
      <w:r>
        <w:rPr/>
        <w:t>the</w:t>
      </w:r>
      <w:r>
        <w:rPr>
          <w:spacing w:val="-3"/>
        </w:rPr>
        <w:t> </w:t>
      </w:r>
      <w:r>
        <w:rPr/>
        <w:t>prior</w:t>
      </w:r>
      <w:r>
        <w:rPr>
          <w:spacing w:val="-3"/>
        </w:rPr>
        <w:t> </w:t>
      </w:r>
      <w:r>
        <w:rPr/>
        <w:t>year</w:t>
      </w:r>
      <w:r>
        <w:rPr>
          <w:spacing w:val="-3"/>
        </w:rPr>
        <w:t> </w:t>
      </w:r>
      <w:r>
        <w:rPr/>
        <w:t>battle</w:t>
      </w:r>
      <w:r>
        <w:rPr>
          <w:spacing w:val="-3"/>
        </w:rPr>
        <w:t> </w:t>
      </w:r>
      <w:r>
        <w:rPr/>
        <w:t>deaths</w:t>
      </w:r>
      <w:r>
        <w:rPr>
          <w:spacing w:val="-3"/>
        </w:rPr>
        <w:t> </w:t>
      </w:r>
      <w:r>
        <w:rPr/>
        <w:t>variable</w:t>
      </w:r>
      <w:r>
        <w:rPr>
          <w:spacing w:val="-3"/>
        </w:rPr>
        <w:t> </w:t>
      </w:r>
      <w:r>
        <w:rPr/>
        <w:t>was</w:t>
      </w:r>
      <w:r>
        <w:rPr>
          <w:spacing w:val="-3"/>
        </w:rPr>
        <w:t> </w:t>
      </w:r>
      <w:r>
        <w:rPr/>
        <w:t>most</w:t>
      </w:r>
      <w:r>
        <w:rPr>
          <w:spacing w:val="-3"/>
        </w:rPr>
        <w:t> </w:t>
      </w:r>
      <w:r>
        <w:rPr/>
        <w:t>statistically</w:t>
      </w:r>
      <w:r>
        <w:rPr>
          <w:spacing w:val="-3"/>
        </w:rPr>
        <w:t> </w:t>
      </w:r>
      <w:r>
        <w:rPr/>
        <w:t>significant, as might be expected.</w:t>
      </w:r>
      <w:r>
        <w:rPr>
          <w:spacing w:val="40"/>
        </w:rPr>
        <w:t> </w:t>
      </w:r>
      <w:r>
        <w:rPr/>
        <w:t>The independent effect of oil prices was dropped in these models due to the inclusion</w:t>
      </w:r>
      <w:r>
        <w:rPr>
          <w:spacing w:val="-11"/>
        </w:rPr>
        <w:t> </w:t>
      </w:r>
      <w:r>
        <w:rPr/>
        <w:t>of</w:t>
      </w:r>
      <w:r>
        <w:rPr>
          <w:spacing w:val="-12"/>
        </w:rPr>
        <w:t> </w:t>
      </w:r>
      <w:r>
        <w:rPr/>
        <w:t>time</w:t>
      </w:r>
      <w:r>
        <w:rPr>
          <w:spacing w:val="-11"/>
        </w:rPr>
        <w:t> </w:t>
      </w:r>
      <w:r>
        <w:rPr/>
        <w:t>fixed</w:t>
      </w:r>
      <w:r>
        <w:rPr>
          <w:spacing w:val="-11"/>
        </w:rPr>
        <w:t> </w:t>
      </w:r>
      <w:r>
        <w:rPr/>
        <w:t>effects,</w:t>
      </w:r>
      <w:r>
        <w:rPr>
          <w:spacing w:val="-11"/>
        </w:rPr>
        <w:t> </w:t>
      </w:r>
      <w:r>
        <w:rPr/>
        <w:t>meaning</w:t>
      </w:r>
      <w:r>
        <w:rPr>
          <w:spacing w:val="-11"/>
        </w:rPr>
        <w:t> </w:t>
      </w:r>
      <w:r>
        <w:rPr/>
        <w:t>that</w:t>
      </w:r>
      <w:r>
        <w:rPr>
          <w:spacing w:val="-11"/>
        </w:rPr>
        <w:t> </w:t>
      </w:r>
      <w:r>
        <w:rPr/>
        <w:t>price</w:t>
      </w:r>
      <w:r>
        <w:rPr>
          <w:spacing w:val="-11"/>
        </w:rPr>
        <w:t> </w:t>
      </w:r>
      <w:r>
        <w:rPr/>
        <w:t>was</w:t>
      </w:r>
      <w:r>
        <w:rPr>
          <w:spacing w:val="-11"/>
        </w:rPr>
        <w:t> </w:t>
      </w:r>
      <w:r>
        <w:rPr/>
        <w:t>invariant</w:t>
      </w:r>
      <w:r>
        <w:rPr>
          <w:spacing w:val="-11"/>
        </w:rPr>
        <w:t> </w:t>
      </w:r>
      <w:r>
        <w:rPr/>
        <w:t>within</w:t>
      </w:r>
      <w:r>
        <w:rPr>
          <w:spacing w:val="-11"/>
        </w:rPr>
        <w:t> </w:t>
      </w:r>
      <w:r>
        <w:rPr/>
        <w:t>states</w:t>
      </w:r>
      <w:r>
        <w:rPr>
          <w:spacing w:val="-11"/>
        </w:rPr>
        <w:t> </w:t>
      </w:r>
      <w:r>
        <w:rPr/>
        <w:t>in</w:t>
      </w:r>
      <w:r>
        <w:rPr>
          <w:spacing w:val="-11"/>
        </w:rPr>
        <w:t> </w:t>
      </w:r>
      <w:r>
        <w:rPr/>
        <w:t>many</w:t>
      </w:r>
      <w:r>
        <w:rPr>
          <w:spacing w:val="-11"/>
        </w:rPr>
        <w:t> </w:t>
      </w:r>
      <w:r>
        <w:rPr/>
        <w:t>cases.</w:t>
      </w:r>
      <w:r>
        <w:rPr>
          <w:spacing w:val="6"/>
        </w:rPr>
        <w:t> </w:t>
      </w:r>
      <w:r>
        <w:rPr/>
        <w:t>This</w:t>
      </w:r>
      <w:r>
        <w:rPr>
          <w:spacing w:val="-11"/>
        </w:rPr>
        <w:t> </w:t>
      </w:r>
      <w:r>
        <w:rPr/>
        <w:t>is</w:t>
      </w:r>
      <w:r>
        <w:rPr>
          <w:spacing w:val="-11"/>
        </w:rPr>
        <w:t> </w:t>
      </w:r>
      <w:r>
        <w:rPr/>
        <w:t>also the</w:t>
      </w:r>
      <w:r>
        <w:rPr>
          <w:spacing w:val="-15"/>
        </w:rPr>
        <w:t> </w:t>
      </w:r>
      <w:r>
        <w:rPr/>
        <w:t>reason</w:t>
      </w:r>
      <w:r>
        <w:rPr>
          <w:spacing w:val="-12"/>
        </w:rPr>
        <w:t> </w:t>
      </w:r>
      <w:r>
        <w:rPr/>
        <w:t>that</w:t>
      </w:r>
      <w:r>
        <w:rPr>
          <w:spacing w:val="-12"/>
        </w:rPr>
        <w:t> </w:t>
      </w:r>
      <w:r>
        <w:rPr/>
        <w:t>time</w:t>
      </w:r>
      <w:r>
        <w:rPr>
          <w:spacing w:val="-12"/>
        </w:rPr>
        <w:t> </w:t>
      </w:r>
      <w:r>
        <w:rPr/>
        <w:t>fixed</w:t>
      </w:r>
      <w:r>
        <w:rPr>
          <w:spacing w:val="-12"/>
        </w:rPr>
        <w:t> </w:t>
      </w:r>
      <w:r>
        <w:rPr/>
        <w:t>effects</w:t>
      </w:r>
      <w:r>
        <w:rPr>
          <w:spacing w:val="-12"/>
        </w:rPr>
        <w:t> </w:t>
      </w:r>
      <w:r>
        <w:rPr/>
        <w:t>were</w:t>
      </w:r>
      <w:r>
        <w:rPr>
          <w:spacing w:val="-12"/>
        </w:rPr>
        <w:t> </w:t>
      </w:r>
      <w:r>
        <w:rPr/>
        <w:t>not</w:t>
      </w:r>
      <w:r>
        <w:rPr>
          <w:spacing w:val="-12"/>
        </w:rPr>
        <w:t> </w:t>
      </w:r>
      <w:r>
        <w:rPr/>
        <w:t>included</w:t>
      </w:r>
      <w:r>
        <w:rPr>
          <w:spacing w:val="-12"/>
        </w:rPr>
        <w:t> </w:t>
      </w:r>
      <w:r>
        <w:rPr/>
        <w:t>in</w:t>
      </w:r>
      <w:r>
        <w:rPr>
          <w:spacing w:val="-12"/>
        </w:rPr>
        <w:t> </w:t>
      </w:r>
      <w:r>
        <w:rPr/>
        <w:t>Table</w:t>
      </w:r>
      <w:r>
        <w:rPr>
          <w:spacing w:val="-12"/>
        </w:rPr>
        <w:t> </w:t>
      </w:r>
      <w:r>
        <w:rPr/>
        <w:t>1.</w:t>
      </w:r>
      <w:r>
        <w:rPr>
          <w:spacing w:val="5"/>
        </w:rPr>
        <w:t> </w:t>
      </w:r>
      <w:r>
        <w:rPr/>
        <w:t>When</w:t>
      </w:r>
      <w:r>
        <w:rPr>
          <w:spacing w:val="-12"/>
        </w:rPr>
        <w:t> </w:t>
      </w:r>
      <w:r>
        <w:rPr/>
        <w:t>time</w:t>
      </w:r>
      <w:r>
        <w:rPr>
          <w:spacing w:val="-12"/>
        </w:rPr>
        <w:t> </w:t>
      </w:r>
      <w:r>
        <w:rPr/>
        <w:t>fixed</w:t>
      </w:r>
      <w:r>
        <w:rPr>
          <w:spacing w:val="-12"/>
        </w:rPr>
        <w:t> </w:t>
      </w:r>
      <w:r>
        <w:rPr/>
        <w:t>effects</w:t>
      </w:r>
      <w:r>
        <w:rPr>
          <w:spacing w:val="-12"/>
        </w:rPr>
        <w:t> </w:t>
      </w:r>
      <w:r>
        <w:rPr/>
        <w:t>were</w:t>
      </w:r>
      <w:r>
        <w:rPr>
          <w:spacing w:val="-12"/>
        </w:rPr>
        <w:t> </w:t>
      </w:r>
      <w:r>
        <w:rPr/>
        <w:t>dropped</w:t>
      </w:r>
      <w:r>
        <w:rPr>
          <w:spacing w:val="-12"/>
        </w:rPr>
        <w:t> </w:t>
      </w:r>
      <w:r>
        <w:rPr/>
        <w:t>for these</w:t>
      </w:r>
      <w:r>
        <w:rPr>
          <w:spacing w:val="1"/>
        </w:rPr>
        <w:t> </w:t>
      </w:r>
      <w:r>
        <w:rPr/>
        <w:t>regressions,</w:t>
      </w:r>
      <w:r>
        <w:rPr>
          <w:spacing w:val="4"/>
        </w:rPr>
        <w:t> </w:t>
      </w:r>
      <w:r>
        <w:rPr/>
        <w:t>the</w:t>
      </w:r>
      <w:r>
        <w:rPr>
          <w:spacing w:val="1"/>
        </w:rPr>
        <w:t> </w:t>
      </w:r>
      <w:r>
        <w:rPr/>
        <w:t>independent</w:t>
      </w:r>
      <w:r>
        <w:rPr>
          <w:spacing w:val="2"/>
        </w:rPr>
        <w:t> </w:t>
      </w:r>
      <w:r>
        <w:rPr/>
        <w:t>effect</w:t>
      </w:r>
      <w:r>
        <w:rPr>
          <w:spacing w:val="2"/>
        </w:rPr>
        <w:t> </w:t>
      </w:r>
      <w:r>
        <w:rPr/>
        <w:t>of</w:t>
      </w:r>
      <w:r>
        <w:rPr>
          <w:spacing w:val="2"/>
        </w:rPr>
        <w:t> </w:t>
      </w:r>
      <w:r>
        <w:rPr/>
        <w:t>oil</w:t>
      </w:r>
      <w:r>
        <w:rPr>
          <w:spacing w:val="2"/>
        </w:rPr>
        <w:t> </w:t>
      </w:r>
      <w:r>
        <w:rPr/>
        <w:t>price</w:t>
      </w:r>
      <w:r>
        <w:rPr>
          <w:spacing w:val="2"/>
        </w:rPr>
        <w:t> </w:t>
      </w:r>
      <w:r>
        <w:rPr/>
        <w:t>was</w:t>
      </w:r>
      <w:r>
        <w:rPr>
          <w:spacing w:val="1"/>
        </w:rPr>
        <w:t> </w:t>
      </w:r>
      <w:r>
        <w:rPr/>
        <w:t>not</w:t>
      </w:r>
      <w:r>
        <w:rPr>
          <w:spacing w:val="2"/>
        </w:rPr>
        <w:t> </w:t>
      </w:r>
      <w:r>
        <w:rPr/>
        <w:t>statistically</w:t>
      </w:r>
      <w:r>
        <w:rPr>
          <w:spacing w:val="2"/>
        </w:rPr>
        <w:t> </w:t>
      </w:r>
      <w:r>
        <w:rPr/>
        <w:t>significant.</w:t>
      </w:r>
      <w:r>
        <w:rPr>
          <w:spacing w:val="28"/>
        </w:rPr>
        <w:t> </w:t>
      </w:r>
      <w:r>
        <w:rPr/>
        <w:t>This</w:t>
      </w:r>
      <w:r>
        <w:rPr>
          <w:spacing w:val="2"/>
        </w:rPr>
        <w:t> </w:t>
      </w:r>
      <w:r>
        <w:rPr/>
        <w:t>is</w:t>
      </w:r>
      <w:r>
        <w:rPr>
          <w:spacing w:val="1"/>
        </w:rPr>
        <w:t> </w:t>
      </w:r>
      <w:r>
        <w:rPr>
          <w:spacing w:val="-2"/>
        </w:rPr>
        <w:t>expected,</w:t>
      </w:r>
    </w:p>
    <w:p>
      <w:pPr>
        <w:spacing w:after="0" w:line="316" w:lineRule="auto"/>
        <w:jc w:val="both"/>
        <w:sectPr>
          <w:pgSz w:w="12240" w:h="15840"/>
          <w:pgMar w:header="0" w:footer="1252" w:top="1100" w:bottom="1440" w:left="1300" w:right="1200"/>
        </w:sectPr>
      </w:pPr>
    </w:p>
    <w:p>
      <w:pPr>
        <w:pStyle w:val="BodyText"/>
        <w:spacing w:line="316" w:lineRule="auto" w:before="49"/>
        <w:ind w:left="117" w:right="422"/>
      </w:pPr>
      <w:r>
        <w:rPr/>
        <w:t>as we should expect a significant effect from oil prices only when oil rents as a percentage of GDP are also high.</w:t>
      </w:r>
    </w:p>
    <w:p>
      <w:pPr>
        <w:pStyle w:val="BodyText"/>
        <w:spacing w:before="123"/>
        <w:ind w:left="1870"/>
      </w:pPr>
      <w:r>
        <w:rPr/>
        <w:t>Table</w:t>
      </w:r>
      <w:r>
        <w:rPr>
          <w:spacing w:val="4"/>
        </w:rPr>
        <w:t> </w:t>
      </w:r>
      <w:r>
        <w:rPr/>
        <w:t>2:</w:t>
      </w:r>
      <w:r>
        <w:rPr>
          <w:spacing w:val="20"/>
        </w:rPr>
        <w:t> </w:t>
      </w:r>
      <w:r>
        <w:rPr/>
        <w:t>Oil</w:t>
      </w:r>
      <w:r>
        <w:rPr>
          <w:spacing w:val="4"/>
        </w:rPr>
        <w:t> </w:t>
      </w:r>
      <w:r>
        <w:rPr/>
        <w:t>Prices</w:t>
      </w:r>
      <w:r>
        <w:rPr>
          <w:spacing w:val="4"/>
        </w:rPr>
        <w:t> </w:t>
      </w:r>
      <w:r>
        <w:rPr/>
        <w:t>and</w:t>
      </w:r>
      <w:r>
        <w:rPr>
          <w:spacing w:val="4"/>
        </w:rPr>
        <w:t> </w:t>
      </w:r>
      <w:r>
        <w:rPr/>
        <w:t>Conflict</w:t>
      </w:r>
      <w:r>
        <w:rPr>
          <w:spacing w:val="5"/>
        </w:rPr>
        <w:t> </w:t>
      </w:r>
      <w:r>
        <w:rPr/>
        <w:t>Intensity</w:t>
      </w:r>
      <w:r>
        <w:rPr>
          <w:spacing w:val="4"/>
        </w:rPr>
        <w:t> </w:t>
      </w:r>
      <w:r>
        <w:rPr/>
        <w:t>in</w:t>
      </w:r>
      <w:r>
        <w:rPr>
          <w:spacing w:val="4"/>
        </w:rPr>
        <w:t> </w:t>
      </w:r>
      <w:r>
        <w:rPr/>
        <w:t>all</w:t>
      </w:r>
      <w:r>
        <w:rPr>
          <w:spacing w:val="4"/>
        </w:rPr>
        <w:t> </w:t>
      </w:r>
      <w:r>
        <w:rPr/>
        <w:t>Conflict</w:t>
      </w:r>
      <w:r>
        <w:rPr>
          <w:spacing w:val="4"/>
        </w:rPr>
        <w:t> </w:t>
      </w:r>
      <w:r>
        <w:rPr>
          <w:spacing w:val="-2"/>
        </w:rPr>
        <w:t>States</w:t>
      </w:r>
    </w:p>
    <w:p>
      <w:pPr>
        <w:pStyle w:val="BodyText"/>
        <w:spacing w:before="3"/>
        <w:rPr>
          <w:sz w:val="25"/>
        </w:rPr>
      </w:pPr>
      <w:r>
        <w:rPr/>
        <w:pict>
          <v:group style="position:absolute;margin-left:70.865997pt;margin-top:15.602211pt;width:402.05pt;height:2.4pt;mso-position-horizontal-relative:page;mso-position-vertical-relative:paragraph;z-index:-15721472;mso-wrap-distance-left:0;mso-wrap-distance-right:0" id="docshapegroup16" coordorigin="1417,312" coordsize="8041,48">
            <v:line style="position:absolute" from="1417,316" to="9458,316" stroked="true" strokeweight=".398pt" strokecolor="#000000">
              <v:stroke dashstyle="solid"/>
            </v:line>
            <v:line style="position:absolute" from="1417,356" to="9458,356" stroked="true" strokeweight=".398pt" strokecolor="#000000">
              <v:stroke dashstyle="solid"/>
            </v:line>
            <w10:wrap type="topAndBottom"/>
          </v:group>
        </w:pict>
      </w:r>
    </w:p>
    <w:p>
      <w:pPr>
        <w:spacing w:before="63" w:after="30"/>
        <w:ind w:left="2093" w:right="638" w:firstLine="0"/>
        <w:jc w:val="center"/>
        <w:rPr>
          <w:rFonts w:ascii="Bookman Old Style"/>
          <w:b w:val="0"/>
          <w:i/>
          <w:sz w:val="20"/>
        </w:rPr>
      </w:pPr>
      <w:r>
        <w:rPr>
          <w:rFonts w:ascii="Bookman Old Style"/>
          <w:b w:val="0"/>
          <w:i/>
          <w:spacing w:val="-2"/>
          <w:w w:val="90"/>
          <w:sz w:val="20"/>
        </w:rPr>
        <w:t>Dependent</w:t>
      </w:r>
      <w:r>
        <w:rPr>
          <w:rFonts w:ascii="Bookman Old Style"/>
          <w:b w:val="0"/>
          <w:i/>
          <w:spacing w:val="1"/>
          <w:sz w:val="20"/>
        </w:rPr>
        <w:t> </w:t>
      </w:r>
      <w:r>
        <w:rPr>
          <w:rFonts w:ascii="Bookman Old Style"/>
          <w:b w:val="0"/>
          <w:i/>
          <w:spacing w:val="-2"/>
          <w:sz w:val="20"/>
        </w:rPr>
        <w:t>variable:</w:t>
      </w:r>
    </w:p>
    <w:p>
      <w:pPr>
        <w:pStyle w:val="BodyText"/>
        <w:spacing w:line="20" w:lineRule="exact"/>
        <w:ind w:left="3050"/>
        <w:rPr>
          <w:rFonts w:ascii="Bookman Old Style"/>
          <w:sz w:val="2"/>
        </w:rPr>
      </w:pPr>
      <w:r>
        <w:rPr>
          <w:rFonts w:ascii="Bookman Old Style"/>
          <w:sz w:val="2"/>
        </w:rPr>
        <w:pict>
          <v:group style="width:255.4pt;height:.4pt;mso-position-horizontal-relative:char;mso-position-vertical-relative:line" id="docshapegroup17" coordorigin="0,0" coordsize="5108,8">
            <v:line style="position:absolute" from="0,4" to="5108,4" stroked="true" strokeweight=".398pt" strokecolor="#000000">
              <v:stroke dashstyle="solid"/>
            </v:line>
          </v:group>
        </w:pict>
      </w:r>
      <w:r>
        <w:rPr>
          <w:rFonts w:ascii="Bookman Old Style"/>
          <w:sz w:val="2"/>
        </w:rPr>
      </w:r>
    </w:p>
    <w:p>
      <w:pPr>
        <w:pStyle w:val="BodyText"/>
        <w:spacing w:before="44"/>
        <w:ind w:left="2105" w:right="638"/>
        <w:jc w:val="center"/>
      </w:pPr>
      <w:r>
        <w:rPr/>
        <w:t>Battle</w:t>
      </w:r>
      <w:r>
        <w:rPr>
          <w:spacing w:val="11"/>
        </w:rPr>
        <w:t> </w:t>
      </w:r>
      <w:r>
        <w:rPr/>
        <w:t>deaths</w:t>
      </w:r>
      <w:r>
        <w:rPr>
          <w:spacing w:val="12"/>
        </w:rPr>
        <w:t> </w:t>
      </w:r>
      <w:r>
        <w:rPr>
          <w:spacing w:val="-2"/>
        </w:rPr>
        <w:t>(yearly)</w:t>
      </w:r>
    </w:p>
    <w:p>
      <w:pPr>
        <w:pStyle w:val="BodyText"/>
        <w:spacing w:before="6"/>
        <w:rPr>
          <w:sz w:val="11"/>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3"/>
        <w:gridCol w:w="1302"/>
        <w:gridCol w:w="1302"/>
        <w:gridCol w:w="1300"/>
        <w:gridCol w:w="1249"/>
      </w:tblGrid>
      <w:tr>
        <w:trPr>
          <w:trHeight w:val="220" w:hRule="atLeast"/>
        </w:trPr>
        <w:tc>
          <w:tcPr>
            <w:tcW w:w="2883" w:type="dxa"/>
            <w:tcBorders>
              <w:bottom w:val="single" w:sz="4" w:space="0" w:color="000000"/>
            </w:tcBorders>
          </w:tcPr>
          <w:p>
            <w:pPr>
              <w:pStyle w:val="TableParagraph"/>
              <w:jc w:val="left"/>
              <w:rPr>
                <w:rFonts w:ascii="Times New Roman"/>
                <w:sz w:val="14"/>
              </w:rPr>
            </w:pPr>
          </w:p>
        </w:tc>
        <w:tc>
          <w:tcPr>
            <w:tcW w:w="1302" w:type="dxa"/>
            <w:tcBorders>
              <w:bottom w:val="single" w:sz="4" w:space="0" w:color="000000"/>
            </w:tcBorders>
          </w:tcPr>
          <w:p>
            <w:pPr>
              <w:pStyle w:val="TableParagraph"/>
              <w:spacing w:line="193" w:lineRule="exact"/>
              <w:ind w:left="128" w:right="128"/>
              <w:rPr>
                <w:sz w:val="20"/>
              </w:rPr>
            </w:pPr>
            <w:r>
              <w:rPr>
                <w:spacing w:val="-5"/>
                <w:w w:val="105"/>
                <w:sz w:val="20"/>
              </w:rPr>
              <w:t>(1)</w:t>
            </w:r>
          </w:p>
        </w:tc>
        <w:tc>
          <w:tcPr>
            <w:tcW w:w="1302" w:type="dxa"/>
            <w:tcBorders>
              <w:bottom w:val="single" w:sz="4" w:space="0" w:color="000000"/>
            </w:tcBorders>
          </w:tcPr>
          <w:p>
            <w:pPr>
              <w:pStyle w:val="TableParagraph"/>
              <w:spacing w:line="193" w:lineRule="exact"/>
              <w:ind w:left="128" w:right="128"/>
              <w:rPr>
                <w:sz w:val="20"/>
              </w:rPr>
            </w:pPr>
            <w:r>
              <w:rPr>
                <w:spacing w:val="-5"/>
                <w:sz w:val="20"/>
              </w:rPr>
              <w:t>(2)</w:t>
            </w:r>
          </w:p>
        </w:tc>
        <w:tc>
          <w:tcPr>
            <w:tcW w:w="1300" w:type="dxa"/>
            <w:tcBorders>
              <w:bottom w:val="single" w:sz="4" w:space="0" w:color="000000"/>
            </w:tcBorders>
          </w:tcPr>
          <w:p>
            <w:pPr>
              <w:pStyle w:val="TableParagraph"/>
              <w:spacing w:line="193" w:lineRule="exact"/>
              <w:ind w:left="141" w:right="140"/>
              <w:rPr>
                <w:sz w:val="20"/>
              </w:rPr>
            </w:pPr>
            <w:r>
              <w:rPr>
                <w:spacing w:val="-5"/>
                <w:sz w:val="20"/>
              </w:rPr>
              <w:t>(3)</w:t>
            </w:r>
          </w:p>
        </w:tc>
        <w:tc>
          <w:tcPr>
            <w:tcW w:w="1249" w:type="dxa"/>
            <w:tcBorders>
              <w:bottom w:val="single" w:sz="4" w:space="0" w:color="000000"/>
            </w:tcBorders>
          </w:tcPr>
          <w:p>
            <w:pPr>
              <w:pStyle w:val="TableParagraph"/>
              <w:spacing w:line="193" w:lineRule="exact"/>
              <w:ind w:left="104" w:right="47"/>
              <w:rPr>
                <w:sz w:val="20"/>
              </w:rPr>
            </w:pPr>
            <w:r>
              <w:rPr>
                <w:spacing w:val="-5"/>
                <w:sz w:val="20"/>
              </w:rPr>
              <w:t>(4)</w:t>
            </w:r>
          </w:p>
        </w:tc>
      </w:tr>
      <w:tr>
        <w:trPr>
          <w:trHeight w:val="679" w:hRule="atLeast"/>
        </w:trPr>
        <w:tc>
          <w:tcPr>
            <w:tcW w:w="2883" w:type="dxa"/>
            <w:tcBorders>
              <w:top w:val="single" w:sz="4" w:space="0" w:color="000000"/>
            </w:tcBorders>
          </w:tcPr>
          <w:p>
            <w:pPr>
              <w:pStyle w:val="TableParagraph"/>
              <w:spacing w:before="67"/>
              <w:jc w:val="left"/>
              <w:rPr>
                <w:sz w:val="20"/>
              </w:rPr>
            </w:pPr>
            <w:r>
              <w:rPr>
                <w:w w:val="105"/>
                <w:sz w:val="20"/>
              </w:rPr>
              <w:t>WTI</w:t>
            </w:r>
            <w:r>
              <w:rPr>
                <w:spacing w:val="15"/>
                <w:w w:val="105"/>
                <w:sz w:val="20"/>
              </w:rPr>
              <w:t> </w:t>
            </w:r>
            <w:r>
              <w:rPr>
                <w:spacing w:val="-2"/>
                <w:w w:val="105"/>
                <w:sz w:val="20"/>
              </w:rPr>
              <w:t>P(t)*Oilrents</w:t>
            </w:r>
          </w:p>
        </w:tc>
        <w:tc>
          <w:tcPr>
            <w:tcW w:w="1302" w:type="dxa"/>
            <w:tcBorders>
              <w:top w:val="single" w:sz="4" w:space="0" w:color="000000"/>
            </w:tcBorders>
          </w:tcPr>
          <w:p>
            <w:pPr>
              <w:pStyle w:val="TableParagraph"/>
              <w:spacing w:line="291" w:lineRule="exact" w:before="31"/>
              <w:ind w:left="346"/>
              <w:jc w:val="left"/>
              <w:rPr>
                <w:sz w:val="20"/>
              </w:rPr>
            </w:pPr>
            <w:r>
              <w:rPr>
                <w:rFonts w:ascii="Lucida Sans Unicode" w:hAnsi="Lucida Sans Unicode"/>
                <w:spacing w:val="-2"/>
                <w:sz w:val="20"/>
              </w:rPr>
              <w:t>−</w:t>
            </w:r>
            <w:r>
              <w:rPr>
                <w:spacing w:val="-2"/>
                <w:sz w:val="20"/>
              </w:rPr>
              <w:t>0.148</w:t>
            </w:r>
          </w:p>
          <w:p>
            <w:pPr>
              <w:pStyle w:val="TableParagraph"/>
              <w:spacing w:line="211" w:lineRule="exact"/>
              <w:ind w:left="346"/>
              <w:jc w:val="left"/>
              <w:rPr>
                <w:sz w:val="20"/>
              </w:rPr>
            </w:pPr>
            <w:r>
              <w:rPr>
                <w:spacing w:val="-2"/>
                <w:sz w:val="20"/>
              </w:rPr>
              <w:t>(0.231)</w:t>
            </w:r>
          </w:p>
        </w:tc>
        <w:tc>
          <w:tcPr>
            <w:tcW w:w="1302" w:type="dxa"/>
            <w:tcBorders>
              <w:top w:val="single" w:sz="4" w:space="0" w:color="000000"/>
            </w:tcBorders>
          </w:tcPr>
          <w:p>
            <w:pPr>
              <w:pStyle w:val="TableParagraph"/>
              <w:jc w:val="left"/>
              <w:rPr>
                <w:rFonts w:ascii="Times New Roman"/>
                <w:sz w:val="18"/>
              </w:rPr>
            </w:pPr>
          </w:p>
        </w:tc>
        <w:tc>
          <w:tcPr>
            <w:tcW w:w="1300" w:type="dxa"/>
            <w:tcBorders>
              <w:top w:val="single" w:sz="4" w:space="0" w:color="000000"/>
            </w:tcBorders>
          </w:tcPr>
          <w:p>
            <w:pPr>
              <w:pStyle w:val="TableParagraph"/>
              <w:jc w:val="left"/>
              <w:rPr>
                <w:rFonts w:ascii="Times New Roman"/>
                <w:sz w:val="18"/>
              </w:rPr>
            </w:pPr>
          </w:p>
        </w:tc>
        <w:tc>
          <w:tcPr>
            <w:tcW w:w="1249" w:type="dxa"/>
            <w:tcBorders>
              <w:top w:val="single" w:sz="4" w:space="0" w:color="000000"/>
            </w:tcBorders>
          </w:tcPr>
          <w:p>
            <w:pPr>
              <w:pStyle w:val="TableParagraph"/>
              <w:jc w:val="left"/>
              <w:rPr>
                <w:rFonts w:ascii="Times New Roman"/>
                <w:sz w:val="18"/>
              </w:rPr>
            </w:pPr>
          </w:p>
        </w:tc>
      </w:tr>
      <w:tr>
        <w:trPr>
          <w:trHeight w:val="358" w:hRule="atLeast"/>
        </w:trPr>
        <w:tc>
          <w:tcPr>
            <w:tcW w:w="2883" w:type="dxa"/>
          </w:tcPr>
          <w:p>
            <w:pPr>
              <w:pStyle w:val="TableParagraph"/>
              <w:spacing w:before="105"/>
              <w:ind w:left="-1"/>
              <w:jc w:val="left"/>
              <w:rPr>
                <w:sz w:val="20"/>
              </w:rPr>
            </w:pPr>
            <w:r>
              <w:rPr>
                <w:sz w:val="20"/>
              </w:rPr>
              <w:t>WTI</w:t>
            </w:r>
            <w:r>
              <w:rPr>
                <w:spacing w:val="52"/>
                <w:sz w:val="20"/>
              </w:rPr>
              <w:t> </w:t>
            </w:r>
            <w:r>
              <w:rPr>
                <w:sz w:val="20"/>
              </w:rPr>
              <w:t>P(t-1)*Oilrents(t-</w:t>
            </w:r>
            <w:r>
              <w:rPr>
                <w:spacing w:val="-5"/>
                <w:sz w:val="20"/>
              </w:rPr>
              <w:t>1)</w:t>
            </w:r>
          </w:p>
        </w:tc>
        <w:tc>
          <w:tcPr>
            <w:tcW w:w="1302" w:type="dxa"/>
          </w:tcPr>
          <w:p>
            <w:pPr>
              <w:pStyle w:val="TableParagraph"/>
              <w:jc w:val="left"/>
              <w:rPr>
                <w:rFonts w:ascii="Times New Roman"/>
                <w:sz w:val="18"/>
              </w:rPr>
            </w:pPr>
          </w:p>
        </w:tc>
        <w:tc>
          <w:tcPr>
            <w:tcW w:w="1302" w:type="dxa"/>
          </w:tcPr>
          <w:p>
            <w:pPr>
              <w:pStyle w:val="TableParagraph"/>
              <w:spacing w:before="105"/>
              <w:ind w:left="128" w:right="128"/>
              <w:rPr>
                <w:sz w:val="20"/>
              </w:rPr>
            </w:pPr>
            <w:r>
              <w:rPr>
                <w:spacing w:val="-2"/>
                <w:sz w:val="20"/>
              </w:rPr>
              <w:t>0.229</w:t>
            </w:r>
          </w:p>
        </w:tc>
        <w:tc>
          <w:tcPr>
            <w:tcW w:w="1300" w:type="dxa"/>
          </w:tcPr>
          <w:p>
            <w:pPr>
              <w:pStyle w:val="TableParagraph"/>
              <w:jc w:val="left"/>
              <w:rPr>
                <w:rFonts w:ascii="Times New Roman"/>
                <w:sz w:val="18"/>
              </w:rPr>
            </w:pPr>
          </w:p>
        </w:tc>
        <w:tc>
          <w:tcPr>
            <w:tcW w:w="1249" w:type="dxa"/>
          </w:tcPr>
          <w:p>
            <w:pPr>
              <w:pStyle w:val="TableParagraph"/>
              <w:jc w:val="left"/>
              <w:rPr>
                <w:rFonts w:ascii="Times New Roman"/>
                <w:sz w:val="18"/>
              </w:rPr>
            </w:pPr>
          </w:p>
        </w:tc>
      </w:tr>
      <w:tr>
        <w:trPr>
          <w:trHeight w:val="342" w:hRule="atLeast"/>
        </w:trPr>
        <w:tc>
          <w:tcPr>
            <w:tcW w:w="2883" w:type="dxa"/>
          </w:tcPr>
          <w:p>
            <w:pPr>
              <w:pStyle w:val="TableParagraph"/>
              <w:jc w:val="left"/>
              <w:rPr>
                <w:rFonts w:ascii="Times New Roman"/>
                <w:sz w:val="18"/>
              </w:rPr>
            </w:pPr>
          </w:p>
        </w:tc>
        <w:tc>
          <w:tcPr>
            <w:tcW w:w="1302" w:type="dxa"/>
          </w:tcPr>
          <w:p>
            <w:pPr>
              <w:pStyle w:val="TableParagraph"/>
              <w:jc w:val="left"/>
              <w:rPr>
                <w:rFonts w:ascii="Times New Roman"/>
                <w:sz w:val="18"/>
              </w:rPr>
            </w:pPr>
          </w:p>
        </w:tc>
        <w:tc>
          <w:tcPr>
            <w:tcW w:w="1302" w:type="dxa"/>
          </w:tcPr>
          <w:p>
            <w:pPr>
              <w:pStyle w:val="TableParagraph"/>
              <w:spacing w:line="213" w:lineRule="exact"/>
              <w:ind w:left="128" w:right="128"/>
              <w:rPr>
                <w:sz w:val="20"/>
              </w:rPr>
            </w:pPr>
            <w:r>
              <w:rPr>
                <w:spacing w:val="-2"/>
                <w:sz w:val="20"/>
              </w:rPr>
              <w:t>(0.201)</w:t>
            </w:r>
          </w:p>
        </w:tc>
        <w:tc>
          <w:tcPr>
            <w:tcW w:w="1300" w:type="dxa"/>
          </w:tcPr>
          <w:p>
            <w:pPr>
              <w:pStyle w:val="TableParagraph"/>
              <w:jc w:val="left"/>
              <w:rPr>
                <w:rFonts w:ascii="Times New Roman"/>
                <w:sz w:val="18"/>
              </w:rPr>
            </w:pPr>
          </w:p>
        </w:tc>
        <w:tc>
          <w:tcPr>
            <w:tcW w:w="1249" w:type="dxa"/>
          </w:tcPr>
          <w:p>
            <w:pPr>
              <w:pStyle w:val="TableParagraph"/>
              <w:jc w:val="left"/>
              <w:rPr>
                <w:rFonts w:ascii="Times New Roman"/>
                <w:sz w:val="18"/>
              </w:rPr>
            </w:pPr>
          </w:p>
        </w:tc>
      </w:tr>
      <w:tr>
        <w:trPr>
          <w:trHeight w:val="717" w:hRule="atLeast"/>
        </w:trPr>
        <w:tc>
          <w:tcPr>
            <w:tcW w:w="2883" w:type="dxa"/>
          </w:tcPr>
          <w:p>
            <w:pPr>
              <w:pStyle w:val="TableParagraph"/>
              <w:spacing w:before="122"/>
              <w:ind w:left="-1"/>
              <w:jc w:val="left"/>
              <w:rPr>
                <w:sz w:val="20"/>
              </w:rPr>
            </w:pPr>
            <w:r>
              <w:rPr>
                <w:sz w:val="20"/>
              </w:rPr>
              <w:t>WTI</w:t>
            </w:r>
            <w:r>
              <w:rPr>
                <w:spacing w:val="28"/>
                <w:sz w:val="20"/>
              </w:rPr>
              <w:t> </w:t>
            </w:r>
            <w:r>
              <w:rPr>
                <w:sz w:val="20"/>
              </w:rPr>
              <w:t>%</w:t>
            </w:r>
            <w:r>
              <w:rPr>
                <w:spacing w:val="29"/>
                <w:sz w:val="20"/>
              </w:rPr>
              <w:t> </w:t>
            </w:r>
            <w:r>
              <w:rPr>
                <w:spacing w:val="-2"/>
                <w:sz w:val="20"/>
              </w:rPr>
              <w:t>chng(t)*Oilrents</w:t>
            </w:r>
          </w:p>
        </w:tc>
        <w:tc>
          <w:tcPr>
            <w:tcW w:w="1302" w:type="dxa"/>
          </w:tcPr>
          <w:p>
            <w:pPr>
              <w:pStyle w:val="TableParagraph"/>
              <w:jc w:val="left"/>
              <w:rPr>
                <w:rFonts w:ascii="Times New Roman"/>
                <w:sz w:val="18"/>
              </w:rPr>
            </w:pPr>
          </w:p>
        </w:tc>
        <w:tc>
          <w:tcPr>
            <w:tcW w:w="1302" w:type="dxa"/>
          </w:tcPr>
          <w:p>
            <w:pPr>
              <w:pStyle w:val="TableParagraph"/>
              <w:jc w:val="left"/>
              <w:rPr>
                <w:rFonts w:ascii="Times New Roman"/>
                <w:sz w:val="18"/>
              </w:rPr>
            </w:pPr>
          </w:p>
        </w:tc>
        <w:tc>
          <w:tcPr>
            <w:tcW w:w="1300" w:type="dxa"/>
          </w:tcPr>
          <w:p>
            <w:pPr>
              <w:pStyle w:val="TableParagraph"/>
              <w:spacing w:line="291" w:lineRule="exact" w:before="86"/>
              <w:ind w:left="209"/>
              <w:jc w:val="left"/>
              <w:rPr>
                <w:rFonts w:ascii="Lucida Sans Unicode" w:hAnsi="Lucida Sans Unicode"/>
                <w:sz w:val="20"/>
              </w:rPr>
            </w:pPr>
            <w:r>
              <w:rPr>
                <w:rFonts w:ascii="Lucida Sans Unicode" w:hAnsi="Lucida Sans Unicode"/>
                <w:spacing w:val="-2"/>
                <w:sz w:val="20"/>
              </w:rPr>
              <w:t>−</w:t>
            </w:r>
            <w:r>
              <w:rPr>
                <w:spacing w:val="-2"/>
                <w:sz w:val="20"/>
              </w:rPr>
              <w:t>60.175</w:t>
            </w:r>
            <w:r>
              <w:rPr>
                <w:rFonts w:ascii="Lucida Sans Unicode" w:hAnsi="Lucida Sans Unicode"/>
                <w:spacing w:val="-2"/>
                <w:sz w:val="20"/>
                <w:vertAlign w:val="superscript"/>
              </w:rPr>
              <w:t>∗∗</w:t>
            </w:r>
          </w:p>
          <w:p>
            <w:pPr>
              <w:pStyle w:val="TableParagraph"/>
              <w:spacing w:line="211" w:lineRule="exact"/>
              <w:ind w:left="296"/>
              <w:jc w:val="left"/>
              <w:rPr>
                <w:sz w:val="20"/>
              </w:rPr>
            </w:pPr>
            <w:r>
              <w:rPr>
                <w:spacing w:val="-2"/>
                <w:sz w:val="20"/>
              </w:rPr>
              <w:t>(25.878)</w:t>
            </w:r>
          </w:p>
        </w:tc>
        <w:tc>
          <w:tcPr>
            <w:tcW w:w="1249" w:type="dxa"/>
          </w:tcPr>
          <w:p>
            <w:pPr>
              <w:pStyle w:val="TableParagraph"/>
              <w:jc w:val="left"/>
              <w:rPr>
                <w:rFonts w:ascii="Times New Roman"/>
                <w:sz w:val="18"/>
              </w:rPr>
            </w:pPr>
          </w:p>
        </w:tc>
      </w:tr>
      <w:tr>
        <w:trPr>
          <w:trHeight w:val="729" w:hRule="atLeast"/>
        </w:trPr>
        <w:tc>
          <w:tcPr>
            <w:tcW w:w="2883" w:type="dxa"/>
          </w:tcPr>
          <w:p>
            <w:pPr>
              <w:pStyle w:val="TableParagraph"/>
              <w:spacing w:before="122"/>
              <w:ind w:left="-1"/>
              <w:jc w:val="left"/>
              <w:rPr>
                <w:sz w:val="20"/>
              </w:rPr>
            </w:pPr>
            <w:r>
              <w:rPr>
                <w:sz w:val="20"/>
              </w:rPr>
              <w:t>WTI</w:t>
            </w:r>
            <w:r>
              <w:rPr>
                <w:spacing w:val="20"/>
                <w:sz w:val="20"/>
              </w:rPr>
              <w:t> </w:t>
            </w:r>
            <w:r>
              <w:rPr>
                <w:sz w:val="20"/>
              </w:rPr>
              <w:t>%</w:t>
            </w:r>
            <w:r>
              <w:rPr>
                <w:spacing w:val="20"/>
                <w:sz w:val="20"/>
              </w:rPr>
              <w:t> </w:t>
            </w:r>
            <w:r>
              <w:rPr>
                <w:sz w:val="20"/>
              </w:rPr>
              <w:t>chng(t-1)*Oilrents(t-</w:t>
            </w:r>
            <w:r>
              <w:rPr>
                <w:spacing w:val="-5"/>
                <w:sz w:val="20"/>
              </w:rPr>
              <w:t>1)</w:t>
            </w:r>
          </w:p>
        </w:tc>
        <w:tc>
          <w:tcPr>
            <w:tcW w:w="1302" w:type="dxa"/>
          </w:tcPr>
          <w:p>
            <w:pPr>
              <w:pStyle w:val="TableParagraph"/>
              <w:jc w:val="left"/>
              <w:rPr>
                <w:rFonts w:ascii="Times New Roman"/>
                <w:sz w:val="18"/>
              </w:rPr>
            </w:pPr>
          </w:p>
        </w:tc>
        <w:tc>
          <w:tcPr>
            <w:tcW w:w="1302" w:type="dxa"/>
          </w:tcPr>
          <w:p>
            <w:pPr>
              <w:pStyle w:val="TableParagraph"/>
              <w:jc w:val="left"/>
              <w:rPr>
                <w:rFonts w:ascii="Times New Roman"/>
                <w:sz w:val="18"/>
              </w:rPr>
            </w:pPr>
          </w:p>
        </w:tc>
        <w:tc>
          <w:tcPr>
            <w:tcW w:w="1300" w:type="dxa"/>
          </w:tcPr>
          <w:p>
            <w:pPr>
              <w:pStyle w:val="TableParagraph"/>
              <w:jc w:val="left"/>
              <w:rPr>
                <w:rFonts w:ascii="Times New Roman"/>
                <w:sz w:val="18"/>
              </w:rPr>
            </w:pPr>
          </w:p>
        </w:tc>
        <w:tc>
          <w:tcPr>
            <w:tcW w:w="1249" w:type="dxa"/>
          </w:tcPr>
          <w:p>
            <w:pPr>
              <w:pStyle w:val="TableParagraph"/>
              <w:spacing w:line="291" w:lineRule="exact" w:before="86"/>
              <w:ind w:left="104" w:right="58"/>
              <w:rPr>
                <w:rFonts w:ascii="Lucida Sans Unicode" w:hAnsi="Lucida Sans Unicode"/>
                <w:sz w:val="20"/>
              </w:rPr>
            </w:pPr>
            <w:r>
              <w:rPr>
                <w:rFonts w:ascii="Lucida Sans Unicode" w:hAnsi="Lucida Sans Unicode"/>
                <w:spacing w:val="-2"/>
                <w:sz w:val="20"/>
              </w:rPr>
              <w:t>−</w:t>
            </w:r>
            <w:r>
              <w:rPr>
                <w:spacing w:val="-2"/>
                <w:sz w:val="20"/>
              </w:rPr>
              <w:t>62.031</w:t>
            </w:r>
            <w:r>
              <w:rPr>
                <w:rFonts w:ascii="Lucida Sans Unicode" w:hAnsi="Lucida Sans Unicode"/>
                <w:spacing w:val="-2"/>
                <w:sz w:val="20"/>
                <w:vertAlign w:val="superscript"/>
              </w:rPr>
              <w:t>∗∗∗</w:t>
            </w:r>
          </w:p>
          <w:p>
            <w:pPr>
              <w:pStyle w:val="TableParagraph"/>
              <w:spacing w:line="211" w:lineRule="exact"/>
              <w:ind w:left="104" w:right="48"/>
              <w:rPr>
                <w:sz w:val="20"/>
              </w:rPr>
            </w:pPr>
            <w:r>
              <w:rPr>
                <w:spacing w:val="-2"/>
                <w:sz w:val="20"/>
              </w:rPr>
              <w:t>(25.889)</w:t>
            </w:r>
          </w:p>
        </w:tc>
      </w:tr>
      <w:tr>
        <w:trPr>
          <w:trHeight w:val="362" w:hRule="atLeast"/>
        </w:trPr>
        <w:tc>
          <w:tcPr>
            <w:tcW w:w="2883" w:type="dxa"/>
          </w:tcPr>
          <w:p>
            <w:pPr>
              <w:pStyle w:val="TableParagraph"/>
              <w:spacing w:before="109"/>
              <w:ind w:left="-1"/>
              <w:jc w:val="left"/>
              <w:rPr>
                <w:sz w:val="20"/>
              </w:rPr>
            </w:pPr>
            <w:r>
              <w:rPr>
                <w:spacing w:val="-2"/>
                <w:sz w:val="20"/>
              </w:rPr>
              <w:t>Oilrents</w:t>
            </w:r>
          </w:p>
        </w:tc>
        <w:tc>
          <w:tcPr>
            <w:tcW w:w="1302" w:type="dxa"/>
          </w:tcPr>
          <w:p>
            <w:pPr>
              <w:pStyle w:val="TableParagraph"/>
              <w:spacing w:before="109"/>
              <w:ind w:left="128" w:right="128"/>
              <w:rPr>
                <w:sz w:val="20"/>
              </w:rPr>
            </w:pPr>
            <w:r>
              <w:rPr>
                <w:spacing w:val="-2"/>
                <w:sz w:val="20"/>
              </w:rPr>
              <w:t>7.823</w:t>
            </w:r>
          </w:p>
        </w:tc>
        <w:tc>
          <w:tcPr>
            <w:tcW w:w="1302" w:type="dxa"/>
          </w:tcPr>
          <w:p>
            <w:pPr>
              <w:pStyle w:val="TableParagraph"/>
              <w:spacing w:line="269" w:lineRule="exact" w:before="73"/>
              <w:ind w:left="128" w:right="128"/>
              <w:rPr>
                <w:sz w:val="20"/>
              </w:rPr>
            </w:pPr>
            <w:r>
              <w:rPr>
                <w:rFonts w:ascii="Lucida Sans Unicode" w:hAnsi="Lucida Sans Unicode"/>
                <w:spacing w:val="-2"/>
                <w:sz w:val="20"/>
              </w:rPr>
              <w:t>−</w:t>
            </w:r>
            <w:r>
              <w:rPr>
                <w:spacing w:val="-2"/>
                <w:sz w:val="20"/>
              </w:rPr>
              <w:t>26.362</w:t>
            </w:r>
          </w:p>
        </w:tc>
        <w:tc>
          <w:tcPr>
            <w:tcW w:w="1300" w:type="dxa"/>
          </w:tcPr>
          <w:p>
            <w:pPr>
              <w:pStyle w:val="TableParagraph"/>
              <w:spacing w:before="109"/>
              <w:ind w:left="140" w:right="140"/>
              <w:rPr>
                <w:sz w:val="20"/>
              </w:rPr>
            </w:pPr>
            <w:r>
              <w:rPr>
                <w:spacing w:val="-2"/>
                <w:sz w:val="20"/>
              </w:rPr>
              <w:t>17.942</w:t>
            </w:r>
          </w:p>
        </w:tc>
        <w:tc>
          <w:tcPr>
            <w:tcW w:w="1249" w:type="dxa"/>
          </w:tcPr>
          <w:p>
            <w:pPr>
              <w:pStyle w:val="TableParagraph"/>
              <w:spacing w:before="109"/>
              <w:ind w:left="104" w:right="49"/>
              <w:rPr>
                <w:sz w:val="20"/>
              </w:rPr>
            </w:pPr>
            <w:r>
              <w:rPr>
                <w:spacing w:val="-2"/>
                <w:sz w:val="20"/>
              </w:rPr>
              <w:t>10.998</w:t>
            </w:r>
          </w:p>
        </w:tc>
      </w:tr>
      <w:tr>
        <w:trPr>
          <w:trHeight w:val="342" w:hRule="atLeast"/>
        </w:trPr>
        <w:tc>
          <w:tcPr>
            <w:tcW w:w="2883" w:type="dxa"/>
          </w:tcPr>
          <w:p>
            <w:pPr>
              <w:pStyle w:val="TableParagraph"/>
              <w:jc w:val="left"/>
              <w:rPr>
                <w:rFonts w:ascii="Times New Roman"/>
                <w:sz w:val="18"/>
              </w:rPr>
            </w:pPr>
          </w:p>
        </w:tc>
        <w:tc>
          <w:tcPr>
            <w:tcW w:w="1302" w:type="dxa"/>
          </w:tcPr>
          <w:p>
            <w:pPr>
              <w:pStyle w:val="TableParagraph"/>
              <w:spacing w:line="213" w:lineRule="exact"/>
              <w:ind w:left="128" w:right="128"/>
              <w:rPr>
                <w:sz w:val="20"/>
              </w:rPr>
            </w:pPr>
            <w:r>
              <w:rPr>
                <w:spacing w:val="-2"/>
                <w:sz w:val="20"/>
              </w:rPr>
              <w:t>(20.850)</w:t>
            </w:r>
          </w:p>
        </w:tc>
        <w:tc>
          <w:tcPr>
            <w:tcW w:w="1302" w:type="dxa"/>
          </w:tcPr>
          <w:p>
            <w:pPr>
              <w:pStyle w:val="TableParagraph"/>
              <w:spacing w:line="213" w:lineRule="exact"/>
              <w:ind w:left="130" w:right="128"/>
              <w:rPr>
                <w:sz w:val="20"/>
              </w:rPr>
            </w:pPr>
            <w:r>
              <w:rPr>
                <w:spacing w:val="-2"/>
                <w:sz w:val="20"/>
              </w:rPr>
              <w:t>(18.116)</w:t>
            </w:r>
          </w:p>
        </w:tc>
        <w:tc>
          <w:tcPr>
            <w:tcW w:w="1300" w:type="dxa"/>
          </w:tcPr>
          <w:p>
            <w:pPr>
              <w:pStyle w:val="TableParagraph"/>
              <w:spacing w:line="213" w:lineRule="exact"/>
              <w:ind w:left="145" w:right="140"/>
              <w:rPr>
                <w:sz w:val="20"/>
              </w:rPr>
            </w:pPr>
            <w:r>
              <w:rPr>
                <w:spacing w:val="-2"/>
                <w:sz w:val="20"/>
              </w:rPr>
              <w:t>(15.166)</w:t>
            </w:r>
          </w:p>
        </w:tc>
        <w:tc>
          <w:tcPr>
            <w:tcW w:w="1249" w:type="dxa"/>
          </w:tcPr>
          <w:p>
            <w:pPr>
              <w:pStyle w:val="TableParagraph"/>
              <w:spacing w:line="213" w:lineRule="exact"/>
              <w:ind w:left="104" w:right="42"/>
              <w:rPr>
                <w:sz w:val="20"/>
              </w:rPr>
            </w:pPr>
            <w:r>
              <w:rPr>
                <w:spacing w:val="-2"/>
                <w:sz w:val="20"/>
              </w:rPr>
              <w:t>(15.655)</w:t>
            </w:r>
          </w:p>
        </w:tc>
      </w:tr>
      <w:tr>
        <w:trPr>
          <w:trHeight w:val="375" w:hRule="atLeast"/>
        </w:trPr>
        <w:tc>
          <w:tcPr>
            <w:tcW w:w="2883" w:type="dxa"/>
          </w:tcPr>
          <w:p>
            <w:pPr>
              <w:pStyle w:val="TableParagraph"/>
              <w:spacing w:before="122"/>
              <w:jc w:val="left"/>
              <w:rPr>
                <w:sz w:val="20"/>
              </w:rPr>
            </w:pPr>
            <w:r>
              <w:rPr>
                <w:sz w:val="20"/>
              </w:rPr>
              <w:t>Battle</w:t>
            </w:r>
            <w:r>
              <w:rPr>
                <w:spacing w:val="20"/>
                <w:sz w:val="20"/>
              </w:rPr>
              <w:t> </w:t>
            </w:r>
            <w:r>
              <w:rPr>
                <w:sz w:val="20"/>
              </w:rPr>
              <w:t>deaths(t-</w:t>
            </w:r>
            <w:r>
              <w:rPr>
                <w:spacing w:val="-5"/>
                <w:sz w:val="20"/>
              </w:rPr>
              <w:t>1)</w:t>
            </w:r>
          </w:p>
        </w:tc>
        <w:tc>
          <w:tcPr>
            <w:tcW w:w="1302" w:type="dxa"/>
          </w:tcPr>
          <w:p>
            <w:pPr>
              <w:pStyle w:val="TableParagraph"/>
              <w:spacing w:line="269" w:lineRule="exact" w:before="86"/>
              <w:ind w:left="120" w:right="128"/>
              <w:rPr>
                <w:rFonts w:ascii="Lucida Sans Unicode" w:hAnsi="Lucida Sans Unicode"/>
                <w:sz w:val="20"/>
              </w:rPr>
            </w:pPr>
            <w:r>
              <w:rPr>
                <w:spacing w:val="-2"/>
                <w:w w:val="95"/>
                <w:sz w:val="20"/>
              </w:rPr>
              <w:t>0.347</w:t>
            </w:r>
            <w:r>
              <w:rPr>
                <w:rFonts w:ascii="Lucida Sans Unicode" w:hAnsi="Lucida Sans Unicode"/>
                <w:spacing w:val="-2"/>
                <w:w w:val="95"/>
                <w:sz w:val="20"/>
                <w:vertAlign w:val="superscript"/>
              </w:rPr>
              <w:t>∗∗∗</w:t>
            </w:r>
          </w:p>
        </w:tc>
        <w:tc>
          <w:tcPr>
            <w:tcW w:w="1302" w:type="dxa"/>
          </w:tcPr>
          <w:p>
            <w:pPr>
              <w:pStyle w:val="TableParagraph"/>
              <w:spacing w:line="269" w:lineRule="exact" w:before="86"/>
              <w:ind w:left="120" w:right="128"/>
              <w:rPr>
                <w:rFonts w:ascii="Lucida Sans Unicode" w:hAnsi="Lucida Sans Unicode"/>
                <w:sz w:val="20"/>
              </w:rPr>
            </w:pPr>
            <w:r>
              <w:rPr>
                <w:spacing w:val="-2"/>
                <w:w w:val="95"/>
                <w:sz w:val="20"/>
              </w:rPr>
              <w:t>0.348</w:t>
            </w:r>
            <w:r>
              <w:rPr>
                <w:rFonts w:ascii="Lucida Sans Unicode" w:hAnsi="Lucida Sans Unicode"/>
                <w:spacing w:val="-2"/>
                <w:w w:val="95"/>
                <w:sz w:val="20"/>
                <w:vertAlign w:val="superscript"/>
              </w:rPr>
              <w:t>∗∗∗</w:t>
            </w:r>
          </w:p>
        </w:tc>
        <w:tc>
          <w:tcPr>
            <w:tcW w:w="1300" w:type="dxa"/>
          </w:tcPr>
          <w:p>
            <w:pPr>
              <w:pStyle w:val="TableParagraph"/>
              <w:spacing w:line="269" w:lineRule="exact" w:before="86"/>
              <w:ind w:left="134" w:right="140"/>
              <w:rPr>
                <w:rFonts w:ascii="Lucida Sans Unicode" w:hAnsi="Lucida Sans Unicode"/>
                <w:sz w:val="20"/>
              </w:rPr>
            </w:pPr>
            <w:r>
              <w:rPr>
                <w:spacing w:val="-2"/>
                <w:w w:val="95"/>
                <w:sz w:val="20"/>
              </w:rPr>
              <w:t>0.342</w:t>
            </w:r>
            <w:r>
              <w:rPr>
                <w:rFonts w:ascii="Lucida Sans Unicode" w:hAnsi="Lucida Sans Unicode"/>
                <w:spacing w:val="-2"/>
                <w:w w:val="95"/>
                <w:sz w:val="20"/>
                <w:vertAlign w:val="superscript"/>
              </w:rPr>
              <w:t>∗∗∗</w:t>
            </w:r>
          </w:p>
        </w:tc>
        <w:tc>
          <w:tcPr>
            <w:tcW w:w="1249" w:type="dxa"/>
          </w:tcPr>
          <w:p>
            <w:pPr>
              <w:pStyle w:val="TableParagraph"/>
              <w:spacing w:line="269" w:lineRule="exact" w:before="86"/>
              <w:ind w:left="103" w:right="58"/>
              <w:rPr>
                <w:rFonts w:ascii="Lucida Sans Unicode" w:hAnsi="Lucida Sans Unicode"/>
                <w:sz w:val="20"/>
              </w:rPr>
            </w:pPr>
            <w:r>
              <w:rPr>
                <w:spacing w:val="-2"/>
                <w:w w:val="95"/>
                <w:sz w:val="20"/>
              </w:rPr>
              <w:t>0.340</w:t>
            </w:r>
            <w:r>
              <w:rPr>
                <w:rFonts w:ascii="Lucida Sans Unicode" w:hAnsi="Lucida Sans Unicode"/>
                <w:spacing w:val="-2"/>
                <w:w w:val="95"/>
                <w:sz w:val="20"/>
                <w:vertAlign w:val="superscript"/>
              </w:rPr>
              <w:t>∗∗∗</w:t>
            </w:r>
          </w:p>
        </w:tc>
      </w:tr>
      <w:tr>
        <w:trPr>
          <w:trHeight w:val="358" w:hRule="atLeast"/>
        </w:trPr>
        <w:tc>
          <w:tcPr>
            <w:tcW w:w="2883" w:type="dxa"/>
          </w:tcPr>
          <w:p>
            <w:pPr>
              <w:pStyle w:val="TableParagraph"/>
              <w:jc w:val="left"/>
              <w:rPr>
                <w:rFonts w:ascii="Times New Roman"/>
                <w:sz w:val="18"/>
              </w:rPr>
            </w:pPr>
          </w:p>
        </w:tc>
        <w:tc>
          <w:tcPr>
            <w:tcW w:w="1302" w:type="dxa"/>
          </w:tcPr>
          <w:p>
            <w:pPr>
              <w:pStyle w:val="TableParagraph"/>
              <w:spacing w:line="213" w:lineRule="exact"/>
              <w:ind w:left="128" w:right="128"/>
              <w:rPr>
                <w:sz w:val="20"/>
              </w:rPr>
            </w:pPr>
            <w:r>
              <w:rPr>
                <w:spacing w:val="-2"/>
                <w:sz w:val="20"/>
              </w:rPr>
              <w:t>(0.029)</w:t>
            </w:r>
          </w:p>
        </w:tc>
        <w:tc>
          <w:tcPr>
            <w:tcW w:w="1302" w:type="dxa"/>
          </w:tcPr>
          <w:p>
            <w:pPr>
              <w:pStyle w:val="TableParagraph"/>
              <w:spacing w:line="213" w:lineRule="exact"/>
              <w:ind w:left="129" w:right="128"/>
              <w:rPr>
                <w:sz w:val="20"/>
              </w:rPr>
            </w:pPr>
            <w:r>
              <w:rPr>
                <w:spacing w:val="-2"/>
                <w:sz w:val="20"/>
              </w:rPr>
              <w:t>(0.029)</w:t>
            </w:r>
          </w:p>
        </w:tc>
        <w:tc>
          <w:tcPr>
            <w:tcW w:w="1300" w:type="dxa"/>
          </w:tcPr>
          <w:p>
            <w:pPr>
              <w:pStyle w:val="TableParagraph"/>
              <w:spacing w:line="213" w:lineRule="exact"/>
              <w:ind w:left="144" w:right="140"/>
              <w:rPr>
                <w:sz w:val="20"/>
              </w:rPr>
            </w:pPr>
            <w:r>
              <w:rPr>
                <w:spacing w:val="-2"/>
                <w:sz w:val="20"/>
              </w:rPr>
              <w:t>(0.029)</w:t>
            </w:r>
          </w:p>
        </w:tc>
        <w:tc>
          <w:tcPr>
            <w:tcW w:w="1249" w:type="dxa"/>
          </w:tcPr>
          <w:p>
            <w:pPr>
              <w:pStyle w:val="TableParagraph"/>
              <w:spacing w:line="213" w:lineRule="exact"/>
              <w:ind w:left="104" w:right="43"/>
              <w:rPr>
                <w:sz w:val="20"/>
              </w:rPr>
            </w:pPr>
            <w:r>
              <w:rPr>
                <w:spacing w:val="-2"/>
                <w:sz w:val="20"/>
              </w:rPr>
              <w:t>(0.029)</w:t>
            </w:r>
          </w:p>
        </w:tc>
      </w:tr>
      <w:tr>
        <w:trPr>
          <w:trHeight w:val="358" w:hRule="atLeast"/>
        </w:trPr>
        <w:tc>
          <w:tcPr>
            <w:tcW w:w="2883" w:type="dxa"/>
          </w:tcPr>
          <w:p>
            <w:pPr>
              <w:pStyle w:val="TableParagraph"/>
              <w:spacing w:before="105"/>
              <w:jc w:val="left"/>
              <w:rPr>
                <w:sz w:val="20"/>
              </w:rPr>
            </w:pPr>
            <w:r>
              <w:rPr>
                <w:spacing w:val="-2"/>
                <w:sz w:val="20"/>
              </w:rPr>
              <w:t>log(Population)</w:t>
            </w:r>
          </w:p>
        </w:tc>
        <w:tc>
          <w:tcPr>
            <w:tcW w:w="1302" w:type="dxa"/>
          </w:tcPr>
          <w:p>
            <w:pPr>
              <w:pStyle w:val="TableParagraph"/>
              <w:spacing w:before="105"/>
              <w:ind w:left="127" w:right="128"/>
              <w:rPr>
                <w:sz w:val="20"/>
              </w:rPr>
            </w:pPr>
            <w:r>
              <w:rPr>
                <w:spacing w:val="-2"/>
                <w:sz w:val="20"/>
              </w:rPr>
              <w:t>558.401</w:t>
            </w:r>
          </w:p>
        </w:tc>
        <w:tc>
          <w:tcPr>
            <w:tcW w:w="1302" w:type="dxa"/>
          </w:tcPr>
          <w:p>
            <w:pPr>
              <w:pStyle w:val="TableParagraph"/>
              <w:spacing w:before="105"/>
              <w:ind w:left="128" w:right="128"/>
              <w:rPr>
                <w:sz w:val="20"/>
              </w:rPr>
            </w:pPr>
            <w:r>
              <w:rPr>
                <w:spacing w:val="-2"/>
                <w:sz w:val="20"/>
              </w:rPr>
              <w:t>545.259</w:t>
            </w:r>
          </w:p>
        </w:tc>
        <w:tc>
          <w:tcPr>
            <w:tcW w:w="1300" w:type="dxa"/>
          </w:tcPr>
          <w:p>
            <w:pPr>
              <w:pStyle w:val="TableParagraph"/>
              <w:spacing w:before="105"/>
              <w:ind w:left="139" w:right="140"/>
              <w:rPr>
                <w:sz w:val="20"/>
              </w:rPr>
            </w:pPr>
            <w:r>
              <w:rPr>
                <w:spacing w:val="-2"/>
                <w:sz w:val="20"/>
              </w:rPr>
              <w:t>405.422</w:t>
            </w:r>
          </w:p>
        </w:tc>
        <w:tc>
          <w:tcPr>
            <w:tcW w:w="1249" w:type="dxa"/>
          </w:tcPr>
          <w:p>
            <w:pPr>
              <w:pStyle w:val="TableParagraph"/>
              <w:spacing w:before="105"/>
              <w:ind w:left="104" w:right="51"/>
              <w:rPr>
                <w:sz w:val="20"/>
              </w:rPr>
            </w:pPr>
            <w:r>
              <w:rPr>
                <w:spacing w:val="-2"/>
                <w:sz w:val="20"/>
              </w:rPr>
              <w:t>446.246</w:t>
            </w:r>
          </w:p>
        </w:tc>
      </w:tr>
      <w:tr>
        <w:trPr>
          <w:trHeight w:val="358" w:hRule="atLeast"/>
        </w:trPr>
        <w:tc>
          <w:tcPr>
            <w:tcW w:w="2883" w:type="dxa"/>
          </w:tcPr>
          <w:p>
            <w:pPr>
              <w:pStyle w:val="TableParagraph"/>
              <w:jc w:val="left"/>
              <w:rPr>
                <w:rFonts w:ascii="Times New Roman"/>
                <w:sz w:val="18"/>
              </w:rPr>
            </w:pPr>
          </w:p>
        </w:tc>
        <w:tc>
          <w:tcPr>
            <w:tcW w:w="1302" w:type="dxa"/>
          </w:tcPr>
          <w:p>
            <w:pPr>
              <w:pStyle w:val="TableParagraph"/>
              <w:spacing w:line="213" w:lineRule="exact"/>
              <w:ind w:left="129" w:right="128"/>
              <w:rPr>
                <w:sz w:val="20"/>
              </w:rPr>
            </w:pPr>
            <w:r>
              <w:rPr>
                <w:spacing w:val="-2"/>
                <w:sz w:val="20"/>
              </w:rPr>
              <w:t>(1,061.429)</w:t>
            </w:r>
          </w:p>
        </w:tc>
        <w:tc>
          <w:tcPr>
            <w:tcW w:w="1302" w:type="dxa"/>
          </w:tcPr>
          <w:p>
            <w:pPr>
              <w:pStyle w:val="TableParagraph"/>
              <w:spacing w:line="213" w:lineRule="exact"/>
              <w:ind w:left="131" w:right="128"/>
              <w:rPr>
                <w:sz w:val="20"/>
              </w:rPr>
            </w:pPr>
            <w:r>
              <w:rPr>
                <w:spacing w:val="-2"/>
                <w:sz w:val="20"/>
              </w:rPr>
              <w:t>(1,062.073)</w:t>
            </w:r>
          </w:p>
        </w:tc>
        <w:tc>
          <w:tcPr>
            <w:tcW w:w="1300" w:type="dxa"/>
          </w:tcPr>
          <w:p>
            <w:pPr>
              <w:pStyle w:val="TableParagraph"/>
              <w:spacing w:line="213" w:lineRule="exact"/>
              <w:ind w:left="147" w:right="140"/>
              <w:rPr>
                <w:sz w:val="20"/>
              </w:rPr>
            </w:pPr>
            <w:r>
              <w:rPr>
                <w:spacing w:val="-2"/>
                <w:sz w:val="20"/>
              </w:rPr>
              <w:t>(1,060.751)</w:t>
            </w:r>
          </w:p>
        </w:tc>
        <w:tc>
          <w:tcPr>
            <w:tcW w:w="1249" w:type="dxa"/>
          </w:tcPr>
          <w:p>
            <w:pPr>
              <w:pStyle w:val="TableParagraph"/>
              <w:spacing w:line="213" w:lineRule="exact"/>
              <w:ind w:left="104" w:right="39"/>
              <w:rPr>
                <w:sz w:val="20"/>
              </w:rPr>
            </w:pPr>
            <w:r>
              <w:rPr>
                <w:spacing w:val="-2"/>
                <w:sz w:val="20"/>
              </w:rPr>
              <w:t>(1,058.723)</w:t>
            </w:r>
          </w:p>
        </w:tc>
      </w:tr>
      <w:tr>
        <w:trPr>
          <w:trHeight w:val="358" w:hRule="atLeast"/>
        </w:trPr>
        <w:tc>
          <w:tcPr>
            <w:tcW w:w="2883" w:type="dxa"/>
          </w:tcPr>
          <w:p>
            <w:pPr>
              <w:pStyle w:val="TableParagraph"/>
              <w:spacing w:before="105"/>
              <w:jc w:val="left"/>
              <w:rPr>
                <w:sz w:val="20"/>
              </w:rPr>
            </w:pPr>
            <w:r>
              <w:rPr>
                <w:spacing w:val="-2"/>
                <w:sz w:val="20"/>
              </w:rPr>
              <w:t>log(GDP)</w:t>
            </w:r>
          </w:p>
        </w:tc>
        <w:tc>
          <w:tcPr>
            <w:tcW w:w="1302" w:type="dxa"/>
          </w:tcPr>
          <w:p>
            <w:pPr>
              <w:pStyle w:val="TableParagraph"/>
              <w:spacing w:before="105"/>
              <w:ind w:left="128" w:right="128"/>
              <w:rPr>
                <w:sz w:val="20"/>
              </w:rPr>
            </w:pPr>
            <w:r>
              <w:rPr>
                <w:spacing w:val="-2"/>
                <w:sz w:val="20"/>
              </w:rPr>
              <w:t>213.170</w:t>
            </w:r>
          </w:p>
        </w:tc>
        <w:tc>
          <w:tcPr>
            <w:tcW w:w="1302" w:type="dxa"/>
          </w:tcPr>
          <w:p>
            <w:pPr>
              <w:pStyle w:val="TableParagraph"/>
              <w:spacing w:before="105"/>
              <w:ind w:left="128" w:right="128"/>
              <w:rPr>
                <w:sz w:val="20"/>
              </w:rPr>
            </w:pPr>
            <w:r>
              <w:rPr>
                <w:spacing w:val="-2"/>
                <w:sz w:val="20"/>
              </w:rPr>
              <w:t>144.129</w:t>
            </w:r>
          </w:p>
        </w:tc>
        <w:tc>
          <w:tcPr>
            <w:tcW w:w="1300" w:type="dxa"/>
          </w:tcPr>
          <w:p>
            <w:pPr>
              <w:pStyle w:val="TableParagraph"/>
              <w:spacing w:before="105"/>
              <w:ind w:left="141" w:right="140"/>
              <w:rPr>
                <w:sz w:val="20"/>
              </w:rPr>
            </w:pPr>
            <w:r>
              <w:rPr>
                <w:spacing w:val="-2"/>
                <w:sz w:val="20"/>
              </w:rPr>
              <w:t>183.295</w:t>
            </w:r>
          </w:p>
        </w:tc>
        <w:tc>
          <w:tcPr>
            <w:tcW w:w="1249" w:type="dxa"/>
          </w:tcPr>
          <w:p>
            <w:pPr>
              <w:pStyle w:val="TableParagraph"/>
              <w:spacing w:before="105"/>
              <w:ind w:left="104" w:right="49"/>
              <w:rPr>
                <w:sz w:val="20"/>
              </w:rPr>
            </w:pPr>
            <w:r>
              <w:rPr>
                <w:spacing w:val="-2"/>
                <w:sz w:val="20"/>
              </w:rPr>
              <w:t>197.094</w:t>
            </w:r>
          </w:p>
        </w:tc>
      </w:tr>
      <w:tr>
        <w:trPr>
          <w:trHeight w:val="479" w:hRule="atLeast"/>
        </w:trPr>
        <w:tc>
          <w:tcPr>
            <w:tcW w:w="2883" w:type="dxa"/>
            <w:tcBorders>
              <w:bottom w:val="single" w:sz="4" w:space="0" w:color="000000"/>
            </w:tcBorders>
          </w:tcPr>
          <w:p>
            <w:pPr>
              <w:pStyle w:val="TableParagraph"/>
              <w:jc w:val="left"/>
              <w:rPr>
                <w:rFonts w:ascii="Times New Roman"/>
                <w:sz w:val="18"/>
              </w:rPr>
            </w:pPr>
          </w:p>
        </w:tc>
        <w:tc>
          <w:tcPr>
            <w:tcW w:w="1302" w:type="dxa"/>
            <w:tcBorders>
              <w:bottom w:val="single" w:sz="4" w:space="0" w:color="000000"/>
            </w:tcBorders>
          </w:tcPr>
          <w:p>
            <w:pPr>
              <w:pStyle w:val="TableParagraph"/>
              <w:spacing w:line="213" w:lineRule="exact"/>
              <w:ind w:left="129" w:right="128"/>
              <w:rPr>
                <w:sz w:val="20"/>
              </w:rPr>
            </w:pPr>
            <w:r>
              <w:rPr>
                <w:spacing w:val="-2"/>
                <w:sz w:val="20"/>
              </w:rPr>
              <w:t>(242.903)</w:t>
            </w:r>
          </w:p>
        </w:tc>
        <w:tc>
          <w:tcPr>
            <w:tcW w:w="1302" w:type="dxa"/>
            <w:tcBorders>
              <w:bottom w:val="single" w:sz="4" w:space="0" w:color="000000"/>
            </w:tcBorders>
          </w:tcPr>
          <w:p>
            <w:pPr>
              <w:pStyle w:val="TableParagraph"/>
              <w:spacing w:line="213" w:lineRule="exact"/>
              <w:ind w:left="130" w:right="128"/>
              <w:rPr>
                <w:sz w:val="20"/>
              </w:rPr>
            </w:pPr>
            <w:r>
              <w:rPr>
                <w:spacing w:val="-2"/>
                <w:sz w:val="20"/>
              </w:rPr>
              <w:t>(240.011)</w:t>
            </w:r>
          </w:p>
        </w:tc>
        <w:tc>
          <w:tcPr>
            <w:tcW w:w="1300" w:type="dxa"/>
            <w:tcBorders>
              <w:bottom w:val="single" w:sz="4" w:space="0" w:color="000000"/>
            </w:tcBorders>
          </w:tcPr>
          <w:p>
            <w:pPr>
              <w:pStyle w:val="TableParagraph"/>
              <w:spacing w:line="213" w:lineRule="exact"/>
              <w:ind w:left="146" w:right="140"/>
              <w:rPr>
                <w:sz w:val="20"/>
              </w:rPr>
            </w:pPr>
            <w:r>
              <w:rPr>
                <w:spacing w:val="-2"/>
                <w:sz w:val="20"/>
              </w:rPr>
              <w:t>(232.703)</w:t>
            </w:r>
          </w:p>
        </w:tc>
        <w:tc>
          <w:tcPr>
            <w:tcW w:w="1249" w:type="dxa"/>
            <w:tcBorders>
              <w:bottom w:val="single" w:sz="4" w:space="0" w:color="000000"/>
            </w:tcBorders>
          </w:tcPr>
          <w:p>
            <w:pPr>
              <w:pStyle w:val="TableParagraph"/>
              <w:spacing w:line="213" w:lineRule="exact"/>
              <w:ind w:left="104" w:right="41"/>
              <w:rPr>
                <w:sz w:val="20"/>
              </w:rPr>
            </w:pPr>
            <w:r>
              <w:rPr>
                <w:spacing w:val="-2"/>
                <w:sz w:val="20"/>
              </w:rPr>
              <w:t>(232.683)</w:t>
            </w:r>
          </w:p>
        </w:tc>
      </w:tr>
      <w:tr>
        <w:trPr>
          <w:trHeight w:val="300" w:hRule="atLeast"/>
        </w:trPr>
        <w:tc>
          <w:tcPr>
            <w:tcW w:w="2883" w:type="dxa"/>
            <w:tcBorders>
              <w:top w:val="single" w:sz="4" w:space="0" w:color="000000"/>
            </w:tcBorders>
          </w:tcPr>
          <w:p>
            <w:pPr>
              <w:pStyle w:val="TableParagraph"/>
              <w:spacing w:line="213" w:lineRule="exact" w:before="67"/>
              <w:jc w:val="left"/>
              <w:rPr>
                <w:sz w:val="20"/>
              </w:rPr>
            </w:pPr>
            <w:r>
              <w:rPr>
                <w:spacing w:val="-2"/>
                <w:sz w:val="20"/>
              </w:rPr>
              <w:t>Observations</w:t>
            </w:r>
          </w:p>
        </w:tc>
        <w:tc>
          <w:tcPr>
            <w:tcW w:w="1302" w:type="dxa"/>
            <w:tcBorders>
              <w:top w:val="single" w:sz="4" w:space="0" w:color="000000"/>
            </w:tcBorders>
          </w:tcPr>
          <w:p>
            <w:pPr>
              <w:pStyle w:val="TableParagraph"/>
              <w:spacing w:line="213" w:lineRule="exact" w:before="67"/>
              <w:ind w:left="128" w:right="128"/>
              <w:rPr>
                <w:sz w:val="20"/>
              </w:rPr>
            </w:pPr>
            <w:r>
              <w:rPr>
                <w:spacing w:val="-2"/>
                <w:sz w:val="20"/>
              </w:rPr>
              <w:t>1,040</w:t>
            </w:r>
          </w:p>
        </w:tc>
        <w:tc>
          <w:tcPr>
            <w:tcW w:w="1302" w:type="dxa"/>
            <w:tcBorders>
              <w:top w:val="single" w:sz="4" w:space="0" w:color="000000"/>
            </w:tcBorders>
          </w:tcPr>
          <w:p>
            <w:pPr>
              <w:pStyle w:val="TableParagraph"/>
              <w:spacing w:line="213" w:lineRule="exact" w:before="67"/>
              <w:ind w:left="127" w:right="128"/>
              <w:rPr>
                <w:sz w:val="20"/>
              </w:rPr>
            </w:pPr>
            <w:r>
              <w:rPr>
                <w:spacing w:val="-2"/>
                <w:sz w:val="20"/>
              </w:rPr>
              <w:t>1,020</w:t>
            </w:r>
          </w:p>
        </w:tc>
        <w:tc>
          <w:tcPr>
            <w:tcW w:w="1300" w:type="dxa"/>
            <w:tcBorders>
              <w:top w:val="single" w:sz="4" w:space="0" w:color="000000"/>
            </w:tcBorders>
          </w:tcPr>
          <w:p>
            <w:pPr>
              <w:pStyle w:val="TableParagraph"/>
              <w:spacing w:line="213" w:lineRule="exact" w:before="67"/>
              <w:ind w:left="140" w:right="140"/>
              <w:rPr>
                <w:sz w:val="20"/>
              </w:rPr>
            </w:pPr>
            <w:r>
              <w:rPr>
                <w:spacing w:val="-2"/>
                <w:sz w:val="20"/>
              </w:rPr>
              <w:t>1,040</w:t>
            </w:r>
          </w:p>
        </w:tc>
        <w:tc>
          <w:tcPr>
            <w:tcW w:w="1249" w:type="dxa"/>
            <w:tcBorders>
              <w:top w:val="single" w:sz="4" w:space="0" w:color="000000"/>
            </w:tcBorders>
          </w:tcPr>
          <w:p>
            <w:pPr>
              <w:pStyle w:val="TableParagraph"/>
              <w:spacing w:line="213" w:lineRule="exact" w:before="67"/>
              <w:ind w:left="104" w:right="50"/>
              <w:rPr>
                <w:sz w:val="20"/>
              </w:rPr>
            </w:pPr>
            <w:r>
              <w:rPr>
                <w:spacing w:val="-2"/>
                <w:sz w:val="20"/>
              </w:rPr>
              <w:t>1,020</w:t>
            </w:r>
          </w:p>
        </w:tc>
      </w:tr>
    </w:tbl>
    <w:p>
      <w:pPr>
        <w:pStyle w:val="BodyText"/>
        <w:tabs>
          <w:tab w:pos="3424" w:val="left" w:leader="none"/>
          <w:tab w:pos="4726" w:val="left" w:leader="none"/>
          <w:tab w:pos="6027" w:val="left" w:leader="none"/>
          <w:tab w:pos="7329" w:val="left" w:leader="none"/>
        </w:tabs>
        <w:spacing w:after="13"/>
        <w:ind w:left="117"/>
      </w:pPr>
      <w:r>
        <w:rPr>
          <w:spacing w:val="-5"/>
        </w:rPr>
        <w:t>R</w:t>
      </w:r>
      <w:r>
        <w:rPr>
          <w:rFonts w:ascii="Century Gothic"/>
          <w:spacing w:val="-5"/>
          <w:vertAlign w:val="superscript"/>
        </w:rPr>
        <w:t>2</w:t>
      </w:r>
      <w:r>
        <w:rPr>
          <w:rFonts w:ascii="Century Gothic"/>
          <w:vertAlign w:val="baseline"/>
        </w:rPr>
        <w:tab/>
      </w:r>
      <w:r>
        <w:rPr>
          <w:spacing w:val="-2"/>
          <w:vertAlign w:val="baseline"/>
        </w:rPr>
        <w:t>0.132</w:t>
      </w:r>
      <w:r>
        <w:rPr>
          <w:vertAlign w:val="baseline"/>
        </w:rPr>
        <w:tab/>
      </w:r>
      <w:r>
        <w:rPr>
          <w:spacing w:val="-2"/>
          <w:vertAlign w:val="baseline"/>
        </w:rPr>
        <w:t>0.131</w:t>
      </w:r>
      <w:r>
        <w:rPr>
          <w:vertAlign w:val="baseline"/>
        </w:rPr>
        <w:tab/>
      </w:r>
      <w:r>
        <w:rPr>
          <w:spacing w:val="-2"/>
          <w:vertAlign w:val="baseline"/>
        </w:rPr>
        <w:t>0.136</w:t>
      </w:r>
      <w:r>
        <w:rPr>
          <w:rFonts w:ascii="Times New Roman"/>
          <w:vertAlign w:val="baseline"/>
        </w:rPr>
        <w:tab/>
      </w:r>
      <w:r>
        <w:rPr>
          <w:spacing w:val="-2"/>
          <w:vertAlign w:val="baseline"/>
        </w:rPr>
        <w:t>0.137</w:t>
      </w: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4"/>
        <w:gridCol w:w="1556"/>
        <w:gridCol w:w="1302"/>
        <w:gridCol w:w="1302"/>
        <w:gridCol w:w="1257"/>
      </w:tblGrid>
      <w:tr>
        <w:trPr>
          <w:trHeight w:val="230" w:hRule="atLeast"/>
        </w:trPr>
        <w:tc>
          <w:tcPr>
            <w:tcW w:w="2624" w:type="dxa"/>
          </w:tcPr>
          <w:p>
            <w:pPr>
              <w:pStyle w:val="TableParagraph"/>
              <w:spacing w:line="210" w:lineRule="exact"/>
              <w:ind w:left="-1"/>
              <w:jc w:val="left"/>
              <w:rPr>
                <w:rFonts w:ascii="Century Gothic"/>
                <w:sz w:val="20"/>
              </w:rPr>
            </w:pPr>
            <w:r>
              <w:rPr>
                <w:sz w:val="20"/>
              </w:rPr>
              <w:t>Adjusted</w:t>
            </w:r>
            <w:r>
              <w:rPr>
                <w:spacing w:val="10"/>
                <w:sz w:val="20"/>
              </w:rPr>
              <w:t> </w:t>
            </w:r>
            <w:r>
              <w:rPr>
                <w:spacing w:val="-5"/>
                <w:sz w:val="20"/>
              </w:rPr>
              <w:t>R</w:t>
            </w:r>
            <w:r>
              <w:rPr>
                <w:rFonts w:ascii="Century Gothic"/>
                <w:spacing w:val="-5"/>
                <w:sz w:val="20"/>
                <w:vertAlign w:val="superscript"/>
              </w:rPr>
              <w:t>2</w:t>
            </w:r>
          </w:p>
        </w:tc>
        <w:tc>
          <w:tcPr>
            <w:tcW w:w="1556" w:type="dxa"/>
          </w:tcPr>
          <w:p>
            <w:pPr>
              <w:pStyle w:val="TableParagraph"/>
              <w:spacing w:line="210" w:lineRule="exact"/>
              <w:ind w:left="456" w:right="193"/>
              <w:rPr>
                <w:sz w:val="20"/>
              </w:rPr>
            </w:pPr>
            <w:r>
              <w:rPr>
                <w:spacing w:val="-2"/>
                <w:sz w:val="20"/>
              </w:rPr>
              <w:t>0.053</w:t>
            </w:r>
          </w:p>
        </w:tc>
        <w:tc>
          <w:tcPr>
            <w:tcW w:w="1302" w:type="dxa"/>
          </w:tcPr>
          <w:p>
            <w:pPr>
              <w:pStyle w:val="TableParagraph"/>
              <w:spacing w:line="210" w:lineRule="exact"/>
              <w:ind w:left="131" w:right="122"/>
              <w:rPr>
                <w:sz w:val="20"/>
              </w:rPr>
            </w:pPr>
            <w:r>
              <w:rPr>
                <w:spacing w:val="-2"/>
                <w:sz w:val="20"/>
              </w:rPr>
              <w:t>0.053</w:t>
            </w:r>
          </w:p>
        </w:tc>
        <w:tc>
          <w:tcPr>
            <w:tcW w:w="1302" w:type="dxa"/>
          </w:tcPr>
          <w:p>
            <w:pPr>
              <w:pStyle w:val="TableParagraph"/>
              <w:spacing w:line="210" w:lineRule="exact"/>
              <w:ind w:left="131" w:right="123"/>
              <w:rPr>
                <w:sz w:val="20"/>
              </w:rPr>
            </w:pPr>
            <w:r>
              <w:rPr>
                <w:spacing w:val="-2"/>
                <w:w w:val="95"/>
                <w:sz w:val="20"/>
              </w:rPr>
              <w:t>0.058</w:t>
            </w:r>
          </w:p>
        </w:tc>
        <w:tc>
          <w:tcPr>
            <w:tcW w:w="1257" w:type="dxa"/>
          </w:tcPr>
          <w:p>
            <w:pPr>
              <w:pStyle w:val="TableParagraph"/>
              <w:spacing w:line="210" w:lineRule="exact"/>
              <w:ind w:left="205" w:right="153"/>
              <w:rPr>
                <w:sz w:val="20"/>
              </w:rPr>
            </w:pPr>
            <w:r>
              <w:rPr>
                <w:spacing w:val="-2"/>
                <w:w w:val="95"/>
                <w:sz w:val="20"/>
              </w:rPr>
              <w:t>0.060</w:t>
            </w:r>
          </w:p>
        </w:tc>
      </w:tr>
      <w:tr>
        <w:trPr>
          <w:trHeight w:val="266" w:hRule="atLeast"/>
        </w:trPr>
        <w:tc>
          <w:tcPr>
            <w:tcW w:w="2624" w:type="dxa"/>
            <w:tcBorders>
              <w:bottom w:val="double" w:sz="4" w:space="0" w:color="000000"/>
            </w:tcBorders>
          </w:tcPr>
          <w:p>
            <w:pPr>
              <w:pStyle w:val="TableParagraph"/>
              <w:spacing w:before="2"/>
              <w:ind w:left="-1"/>
              <w:jc w:val="left"/>
              <w:rPr>
                <w:sz w:val="20"/>
              </w:rPr>
            </w:pPr>
            <w:r>
              <w:rPr>
                <w:w w:val="105"/>
                <w:sz w:val="20"/>
              </w:rPr>
              <w:t>F</w:t>
            </w:r>
            <w:r>
              <w:rPr>
                <w:spacing w:val="4"/>
                <w:w w:val="105"/>
                <w:sz w:val="20"/>
              </w:rPr>
              <w:t> </w:t>
            </w:r>
            <w:r>
              <w:rPr>
                <w:w w:val="105"/>
                <w:sz w:val="20"/>
              </w:rPr>
              <w:t>Statistic</w:t>
            </w:r>
            <w:r>
              <w:rPr>
                <w:spacing w:val="5"/>
                <w:w w:val="105"/>
                <w:sz w:val="20"/>
              </w:rPr>
              <w:t> </w:t>
            </w:r>
            <w:r>
              <w:rPr>
                <w:w w:val="105"/>
                <w:sz w:val="20"/>
              </w:rPr>
              <w:t>(df</w:t>
            </w:r>
            <w:r>
              <w:rPr>
                <w:spacing w:val="4"/>
                <w:w w:val="105"/>
                <w:sz w:val="20"/>
              </w:rPr>
              <w:t> </w:t>
            </w:r>
            <w:r>
              <w:rPr>
                <w:w w:val="105"/>
                <w:sz w:val="20"/>
              </w:rPr>
              <w:t>=</w:t>
            </w:r>
            <w:r>
              <w:rPr>
                <w:spacing w:val="5"/>
                <w:w w:val="105"/>
                <w:sz w:val="20"/>
              </w:rPr>
              <w:t> </w:t>
            </w:r>
            <w:r>
              <w:rPr>
                <w:w w:val="105"/>
                <w:sz w:val="20"/>
              </w:rPr>
              <w:t>5;</w:t>
            </w:r>
            <w:r>
              <w:rPr>
                <w:spacing w:val="4"/>
                <w:w w:val="105"/>
                <w:sz w:val="20"/>
              </w:rPr>
              <w:t> </w:t>
            </w:r>
            <w:r>
              <w:rPr>
                <w:spacing w:val="-4"/>
                <w:w w:val="105"/>
                <w:sz w:val="20"/>
              </w:rPr>
              <w:t>953)</w:t>
            </w:r>
          </w:p>
        </w:tc>
        <w:tc>
          <w:tcPr>
            <w:tcW w:w="1556" w:type="dxa"/>
            <w:tcBorders>
              <w:bottom w:val="double" w:sz="4" w:space="0" w:color="000000"/>
            </w:tcBorders>
          </w:tcPr>
          <w:p>
            <w:pPr>
              <w:pStyle w:val="TableParagraph"/>
              <w:spacing w:line="246" w:lineRule="exact"/>
              <w:ind w:left="456" w:right="203"/>
              <w:rPr>
                <w:rFonts w:ascii="Lucida Sans Unicode" w:hAnsi="Lucida Sans Unicode"/>
                <w:sz w:val="20"/>
              </w:rPr>
            </w:pPr>
            <w:r>
              <w:rPr>
                <w:spacing w:val="-2"/>
                <w:w w:val="95"/>
                <w:sz w:val="20"/>
              </w:rPr>
              <w:t>28.881</w:t>
            </w:r>
            <w:r>
              <w:rPr>
                <w:rFonts w:ascii="Lucida Sans Unicode" w:hAnsi="Lucida Sans Unicode"/>
                <w:spacing w:val="-2"/>
                <w:w w:val="95"/>
                <w:sz w:val="20"/>
                <w:vertAlign w:val="superscript"/>
              </w:rPr>
              <w:t>∗∗∗</w:t>
            </w:r>
          </w:p>
        </w:tc>
        <w:tc>
          <w:tcPr>
            <w:tcW w:w="1302" w:type="dxa"/>
            <w:tcBorders>
              <w:bottom w:val="double" w:sz="4" w:space="0" w:color="000000"/>
            </w:tcBorders>
          </w:tcPr>
          <w:p>
            <w:pPr>
              <w:pStyle w:val="TableParagraph"/>
              <w:spacing w:line="246" w:lineRule="exact"/>
              <w:ind w:left="128" w:right="128"/>
              <w:rPr>
                <w:rFonts w:ascii="Lucida Sans Unicode" w:hAnsi="Lucida Sans Unicode"/>
                <w:sz w:val="20"/>
              </w:rPr>
            </w:pPr>
            <w:r>
              <w:rPr>
                <w:spacing w:val="-2"/>
                <w:w w:val="95"/>
                <w:sz w:val="20"/>
              </w:rPr>
              <w:t>28.833</w:t>
            </w:r>
            <w:r>
              <w:rPr>
                <w:rFonts w:ascii="Lucida Sans Unicode" w:hAnsi="Lucida Sans Unicode"/>
                <w:spacing w:val="-2"/>
                <w:w w:val="95"/>
                <w:sz w:val="20"/>
                <w:vertAlign w:val="superscript"/>
              </w:rPr>
              <w:t>∗∗∗</w:t>
            </w:r>
          </w:p>
        </w:tc>
        <w:tc>
          <w:tcPr>
            <w:tcW w:w="1302" w:type="dxa"/>
            <w:tcBorders>
              <w:bottom w:val="double" w:sz="4" w:space="0" w:color="000000"/>
            </w:tcBorders>
          </w:tcPr>
          <w:p>
            <w:pPr>
              <w:pStyle w:val="TableParagraph"/>
              <w:spacing w:line="246" w:lineRule="exact"/>
              <w:ind w:left="128" w:right="128"/>
              <w:rPr>
                <w:rFonts w:ascii="Lucida Sans Unicode" w:hAnsi="Lucida Sans Unicode"/>
                <w:sz w:val="20"/>
              </w:rPr>
            </w:pPr>
            <w:r>
              <w:rPr>
                <w:spacing w:val="-2"/>
                <w:w w:val="95"/>
                <w:sz w:val="20"/>
              </w:rPr>
              <w:t>30.031</w:t>
            </w:r>
            <w:r>
              <w:rPr>
                <w:rFonts w:ascii="Lucida Sans Unicode" w:hAnsi="Lucida Sans Unicode"/>
                <w:spacing w:val="-2"/>
                <w:w w:val="95"/>
                <w:sz w:val="20"/>
                <w:vertAlign w:val="superscript"/>
              </w:rPr>
              <w:t>∗∗∗</w:t>
            </w:r>
          </w:p>
        </w:tc>
        <w:tc>
          <w:tcPr>
            <w:tcW w:w="1257" w:type="dxa"/>
            <w:tcBorders>
              <w:bottom w:val="double" w:sz="4" w:space="0" w:color="000000"/>
            </w:tcBorders>
          </w:tcPr>
          <w:p>
            <w:pPr>
              <w:pStyle w:val="TableParagraph"/>
              <w:spacing w:line="246" w:lineRule="exact"/>
              <w:ind w:left="205" w:right="162"/>
              <w:rPr>
                <w:rFonts w:ascii="Lucida Sans Unicode" w:hAnsi="Lucida Sans Unicode"/>
                <w:sz w:val="20"/>
              </w:rPr>
            </w:pPr>
            <w:r>
              <w:rPr>
                <w:spacing w:val="-2"/>
                <w:w w:val="95"/>
                <w:sz w:val="20"/>
              </w:rPr>
              <w:t>30.375</w:t>
            </w:r>
            <w:r>
              <w:rPr>
                <w:rFonts w:ascii="Lucida Sans Unicode" w:hAnsi="Lucida Sans Unicode"/>
                <w:spacing w:val="-2"/>
                <w:w w:val="95"/>
                <w:sz w:val="20"/>
                <w:vertAlign w:val="superscript"/>
              </w:rPr>
              <w:t>∗∗∗</w:t>
            </w:r>
          </w:p>
        </w:tc>
      </w:tr>
    </w:tbl>
    <w:p>
      <w:pPr>
        <w:pStyle w:val="BodyText"/>
        <w:spacing w:line="249" w:lineRule="auto" w:before="64"/>
        <w:ind w:left="117" w:right="2399"/>
      </w:pPr>
      <w:r>
        <w:rPr>
          <w:rFonts w:ascii="Bookman Old Style"/>
          <w:b w:val="0"/>
          <w:i/>
          <w:spacing w:val="-2"/>
        </w:rPr>
        <w:t>Notes:</w:t>
      </w:r>
      <w:r>
        <w:rPr>
          <w:rFonts w:ascii="Bookman Old Style"/>
          <w:b w:val="0"/>
          <w:i/>
          <w:spacing w:val="13"/>
        </w:rPr>
        <w:t> </w:t>
      </w:r>
      <w:r>
        <w:rPr>
          <w:spacing w:val="-2"/>
        </w:rPr>
        <w:t>Models are panel linear regressions with country and time fixed effects. </w:t>
      </w:r>
      <w:r>
        <w:rPr/>
        <w:t>Price coefficients show the result of a 100 dollar increase in oil prices.</w:t>
      </w:r>
    </w:p>
    <w:p>
      <w:pPr>
        <w:pStyle w:val="BodyText"/>
        <w:spacing w:line="219" w:lineRule="exact"/>
        <w:ind w:left="117"/>
      </w:pPr>
      <w:r>
        <w:rPr>
          <w:rFonts w:ascii="Bookman Old Style"/>
          <w:b w:val="0"/>
          <w:i/>
          <w:spacing w:val="-2"/>
        </w:rPr>
        <w:t>Oilrents</w:t>
      </w:r>
      <w:r>
        <w:rPr>
          <w:rFonts w:ascii="Bookman Old Style"/>
          <w:b w:val="0"/>
          <w:i/>
          <w:spacing w:val="2"/>
        </w:rPr>
        <w:t> </w:t>
      </w:r>
      <w:r>
        <w:rPr>
          <w:spacing w:val="-2"/>
        </w:rPr>
        <w:t>variable</w:t>
      </w:r>
      <w:r>
        <w:rPr>
          <w:spacing w:val="1"/>
        </w:rPr>
        <w:t> </w:t>
      </w:r>
      <w:r>
        <w:rPr>
          <w:spacing w:val="-2"/>
        </w:rPr>
        <w:t>in</w:t>
      </w:r>
      <w:r>
        <w:rPr>
          <w:spacing w:val="2"/>
        </w:rPr>
        <w:t> </w:t>
      </w:r>
      <w:r>
        <w:rPr>
          <w:spacing w:val="-2"/>
        </w:rPr>
        <w:t>models</w:t>
      </w:r>
      <w:r>
        <w:rPr>
          <w:spacing w:val="1"/>
        </w:rPr>
        <w:t> </w:t>
      </w:r>
      <w:r>
        <w:rPr>
          <w:spacing w:val="-2"/>
        </w:rPr>
        <w:t>2</w:t>
      </w:r>
      <w:r>
        <w:rPr>
          <w:spacing w:val="2"/>
        </w:rPr>
        <w:t> </w:t>
      </w:r>
      <w:r>
        <w:rPr>
          <w:spacing w:val="-2"/>
        </w:rPr>
        <w:t>and</w:t>
      </w:r>
      <w:r>
        <w:rPr>
          <w:spacing w:val="2"/>
        </w:rPr>
        <w:t> </w:t>
      </w:r>
      <w:r>
        <w:rPr>
          <w:spacing w:val="-2"/>
        </w:rPr>
        <w:t>4</w:t>
      </w:r>
      <w:r>
        <w:rPr>
          <w:spacing w:val="1"/>
        </w:rPr>
        <w:t> </w:t>
      </w:r>
      <w:r>
        <w:rPr>
          <w:spacing w:val="-2"/>
        </w:rPr>
        <w:t>is</w:t>
      </w:r>
      <w:r>
        <w:rPr>
          <w:spacing w:val="2"/>
        </w:rPr>
        <w:t> </w:t>
      </w:r>
      <w:r>
        <w:rPr>
          <w:spacing w:val="-2"/>
        </w:rPr>
        <w:t>lagged.</w:t>
      </w:r>
    </w:p>
    <w:p>
      <w:pPr>
        <w:pStyle w:val="BodyText"/>
        <w:spacing w:line="294" w:lineRule="exact"/>
        <w:ind w:left="117"/>
      </w:pPr>
      <w:r>
        <w:rPr>
          <w:spacing w:val="-2"/>
        </w:rPr>
        <w:t>Robust standard</w:t>
      </w:r>
      <w:r>
        <w:rPr>
          <w:spacing w:val="-1"/>
        </w:rPr>
        <w:t> </w:t>
      </w:r>
      <w:r>
        <w:rPr>
          <w:spacing w:val="-2"/>
        </w:rPr>
        <w:t>errors</w:t>
      </w:r>
      <w:r>
        <w:rPr>
          <w:spacing w:val="-1"/>
        </w:rPr>
        <w:t> </w:t>
      </w:r>
      <w:r>
        <w:rPr>
          <w:spacing w:val="-2"/>
        </w:rPr>
        <w:t>in</w:t>
      </w:r>
      <w:r>
        <w:rPr>
          <w:spacing w:val="-1"/>
        </w:rPr>
        <w:t> </w:t>
      </w:r>
      <w:r>
        <w:rPr>
          <w:spacing w:val="-2"/>
        </w:rPr>
        <w:t>parentheses.</w:t>
      </w:r>
      <w:r>
        <w:rPr>
          <w:rFonts w:ascii="Lucida Sans Unicode" w:hAnsi="Lucida Sans Unicode"/>
          <w:spacing w:val="-2"/>
          <w:vertAlign w:val="superscript"/>
        </w:rPr>
        <w:t>∗</w:t>
      </w:r>
      <w:r>
        <w:rPr>
          <w:spacing w:val="-2"/>
          <w:vertAlign w:val="baseline"/>
        </w:rPr>
        <w:t>p</w:t>
      </w:r>
      <w:r>
        <w:rPr>
          <w:rFonts w:ascii="Bookman Old Style" w:hAnsi="Bookman Old Style"/>
          <w:b w:val="0"/>
          <w:i/>
          <w:spacing w:val="-2"/>
          <w:vertAlign w:val="baseline"/>
        </w:rPr>
        <w:t>&lt;</w:t>
      </w:r>
      <w:r>
        <w:rPr>
          <w:spacing w:val="-2"/>
          <w:vertAlign w:val="baseline"/>
        </w:rPr>
        <w:t>0.1;</w:t>
      </w:r>
      <w:r>
        <w:rPr>
          <w:spacing w:val="-1"/>
          <w:vertAlign w:val="baseline"/>
        </w:rPr>
        <w:t> </w:t>
      </w:r>
      <w:r>
        <w:rPr>
          <w:rFonts w:ascii="Lucida Sans Unicode" w:hAnsi="Lucida Sans Unicode"/>
          <w:spacing w:val="-2"/>
          <w:vertAlign w:val="superscript"/>
        </w:rPr>
        <w:t>∗∗</w:t>
      </w:r>
      <w:r>
        <w:rPr>
          <w:spacing w:val="-2"/>
          <w:vertAlign w:val="baseline"/>
        </w:rPr>
        <w:t>p</w:t>
      </w:r>
      <w:r>
        <w:rPr>
          <w:rFonts w:ascii="Bookman Old Style" w:hAnsi="Bookman Old Style"/>
          <w:b w:val="0"/>
          <w:i/>
          <w:spacing w:val="-2"/>
          <w:vertAlign w:val="baseline"/>
        </w:rPr>
        <w:t>&lt;</w:t>
      </w:r>
      <w:r>
        <w:rPr>
          <w:spacing w:val="-2"/>
          <w:vertAlign w:val="baseline"/>
        </w:rPr>
        <w:t>0.05; </w:t>
      </w:r>
      <w:r>
        <w:rPr>
          <w:rFonts w:ascii="Lucida Sans Unicode" w:hAnsi="Lucida Sans Unicode"/>
          <w:spacing w:val="-2"/>
          <w:vertAlign w:val="superscript"/>
        </w:rPr>
        <w:t>∗∗∗</w:t>
      </w:r>
      <w:r>
        <w:rPr>
          <w:spacing w:val="-2"/>
          <w:vertAlign w:val="baseline"/>
        </w:rPr>
        <w:t>p</w:t>
      </w:r>
      <w:r>
        <w:rPr>
          <w:rFonts w:ascii="Bookman Old Style" w:hAnsi="Bookman Old Style"/>
          <w:b w:val="0"/>
          <w:i/>
          <w:spacing w:val="-2"/>
          <w:vertAlign w:val="baseline"/>
        </w:rPr>
        <w:t>&lt;</w:t>
      </w:r>
      <w:r>
        <w:rPr>
          <w:spacing w:val="-2"/>
          <w:vertAlign w:val="baseline"/>
        </w:rPr>
        <w:t>0.01</w:t>
      </w:r>
    </w:p>
    <w:p>
      <w:pPr>
        <w:pStyle w:val="BodyText"/>
        <w:rPr>
          <w:sz w:val="22"/>
        </w:rPr>
      </w:pPr>
    </w:p>
    <w:p>
      <w:pPr>
        <w:pStyle w:val="BodyText"/>
        <w:spacing w:line="309" w:lineRule="auto" w:before="195"/>
        <w:ind w:left="117" w:right="632" w:firstLine="298"/>
        <w:jc w:val="both"/>
      </w:pPr>
      <w:r>
        <w:rPr/>
        <w:pict>
          <v:shape style="position:absolute;margin-left:70.865997pt;margin-top:85.725922pt;width:179.75pt;height:.1pt;mso-position-horizontal-relative:page;mso-position-vertical-relative:paragraph;z-index:-15720448;mso-wrap-distance-left:0;mso-wrap-distance-right:0" id="docshape18" coordorigin="1417,1715" coordsize="3595,0" path="m1417,1715l5012,1715e" filled="false" stroked="true" strokeweight=".398pt" strokecolor="#000000">
            <v:path arrowok="t"/>
            <v:stroke dashstyle="solid"/>
            <w10:wrap type="topAndBottom"/>
          </v:shape>
        </w:pict>
      </w:r>
      <w:r>
        <w:rPr/>
        <w:t>Figure 2 provides an illustration of the effect modeled in Model 1 of Table 2 (using monthly data</w:t>
      </w:r>
      <w:r>
        <w:rPr>
          <w:spacing w:val="80"/>
        </w:rPr>
        <w:t> </w:t>
      </w:r>
      <w:r>
        <w:rPr/>
        <w:t>in</w:t>
      </w:r>
      <w:r>
        <w:rPr>
          <w:spacing w:val="19"/>
        </w:rPr>
        <w:t> </w:t>
      </w:r>
      <w:r>
        <w:rPr/>
        <w:t>place</w:t>
      </w:r>
      <w:r>
        <w:rPr>
          <w:spacing w:val="19"/>
        </w:rPr>
        <w:t> </w:t>
      </w:r>
      <w:r>
        <w:rPr/>
        <w:t>of</w:t>
      </w:r>
      <w:r>
        <w:rPr>
          <w:spacing w:val="19"/>
        </w:rPr>
        <w:t> </w:t>
      </w:r>
      <w:r>
        <w:rPr/>
        <w:t>yearly).</w:t>
      </w:r>
      <w:r>
        <w:rPr>
          <w:rFonts w:ascii="Century Gothic"/>
          <w:vertAlign w:val="superscript"/>
        </w:rPr>
        <w:t>56</w:t>
      </w:r>
      <w:r>
        <w:rPr>
          <w:rFonts w:ascii="Century Gothic"/>
          <w:spacing w:val="68"/>
          <w:vertAlign w:val="baseline"/>
        </w:rPr>
        <w:t> </w:t>
      </w:r>
      <w:r>
        <w:rPr>
          <w:vertAlign w:val="baseline"/>
        </w:rPr>
        <w:t>As</w:t>
      </w:r>
      <w:r>
        <w:rPr>
          <w:spacing w:val="19"/>
          <w:vertAlign w:val="baseline"/>
        </w:rPr>
        <w:t> </w:t>
      </w:r>
      <w:r>
        <w:rPr>
          <w:vertAlign w:val="baseline"/>
        </w:rPr>
        <w:t>shown</w:t>
      </w:r>
      <w:r>
        <w:rPr>
          <w:spacing w:val="19"/>
          <w:vertAlign w:val="baseline"/>
        </w:rPr>
        <w:t> </w:t>
      </w:r>
      <w:r>
        <w:rPr>
          <w:vertAlign w:val="baseline"/>
        </w:rPr>
        <w:t>in</w:t>
      </w:r>
      <w:r>
        <w:rPr>
          <w:spacing w:val="19"/>
          <w:vertAlign w:val="baseline"/>
        </w:rPr>
        <w:t> </w:t>
      </w:r>
      <w:r>
        <w:rPr>
          <w:vertAlign w:val="baseline"/>
        </w:rPr>
        <w:t>Figure</w:t>
      </w:r>
      <w:r>
        <w:rPr>
          <w:spacing w:val="19"/>
          <w:vertAlign w:val="baseline"/>
        </w:rPr>
        <w:t> </w:t>
      </w:r>
      <w:r>
        <w:rPr>
          <w:vertAlign w:val="baseline"/>
        </w:rPr>
        <w:t>2,</w:t>
      </w:r>
      <w:r>
        <w:rPr>
          <w:spacing w:val="23"/>
          <w:vertAlign w:val="baseline"/>
        </w:rPr>
        <w:t> </w:t>
      </w:r>
      <w:r>
        <w:rPr>
          <w:vertAlign w:val="baseline"/>
        </w:rPr>
        <w:t>the</w:t>
      </w:r>
      <w:r>
        <w:rPr>
          <w:spacing w:val="19"/>
          <w:vertAlign w:val="baseline"/>
        </w:rPr>
        <w:t> </w:t>
      </w:r>
      <w:r>
        <w:rPr>
          <w:vertAlign w:val="baseline"/>
        </w:rPr>
        <w:t>marginal</w:t>
      </w:r>
      <w:r>
        <w:rPr>
          <w:spacing w:val="19"/>
          <w:vertAlign w:val="baseline"/>
        </w:rPr>
        <w:t> </w:t>
      </w:r>
      <w:r>
        <w:rPr>
          <w:vertAlign w:val="baseline"/>
        </w:rPr>
        <w:t>effect</w:t>
      </w:r>
      <w:r>
        <w:rPr>
          <w:spacing w:val="19"/>
          <w:vertAlign w:val="baseline"/>
        </w:rPr>
        <w:t> </w:t>
      </w:r>
      <w:r>
        <w:rPr>
          <w:vertAlign w:val="baseline"/>
        </w:rPr>
        <w:t>of</w:t>
      </w:r>
      <w:r>
        <w:rPr>
          <w:spacing w:val="19"/>
          <w:vertAlign w:val="baseline"/>
        </w:rPr>
        <w:t> </w:t>
      </w:r>
      <w:r>
        <w:rPr>
          <w:vertAlign w:val="baseline"/>
        </w:rPr>
        <w:t>the</w:t>
      </w:r>
      <w:r>
        <w:rPr>
          <w:spacing w:val="19"/>
          <w:vertAlign w:val="baseline"/>
        </w:rPr>
        <w:t> </w:t>
      </w:r>
      <w:r>
        <w:rPr>
          <w:vertAlign w:val="baseline"/>
        </w:rPr>
        <w:t>oil</w:t>
      </w:r>
      <w:r>
        <w:rPr>
          <w:spacing w:val="19"/>
          <w:vertAlign w:val="baseline"/>
        </w:rPr>
        <w:t> </w:t>
      </w:r>
      <w:r>
        <w:rPr>
          <w:vertAlign w:val="baseline"/>
        </w:rPr>
        <w:t>price</w:t>
      </w:r>
      <w:r>
        <w:rPr>
          <w:spacing w:val="19"/>
          <w:vertAlign w:val="baseline"/>
        </w:rPr>
        <w:t> </w:t>
      </w:r>
      <w:r>
        <w:rPr>
          <w:vertAlign w:val="baseline"/>
        </w:rPr>
        <w:t>coefficient</w:t>
      </w:r>
      <w:r>
        <w:rPr>
          <w:spacing w:val="19"/>
          <w:vertAlign w:val="baseline"/>
        </w:rPr>
        <w:t> </w:t>
      </w:r>
      <w:r>
        <w:rPr>
          <w:vertAlign w:val="baseline"/>
        </w:rPr>
        <w:t>increases as the level of rentierism increases.</w:t>
      </w:r>
      <w:r>
        <w:rPr>
          <w:spacing w:val="40"/>
          <w:vertAlign w:val="baseline"/>
        </w:rPr>
        <w:t> </w:t>
      </w:r>
      <w:r>
        <w:rPr>
          <w:vertAlign w:val="baseline"/>
        </w:rPr>
        <w:t>Across the range of the sample, the marginal effect increases by nearly 3 times.</w:t>
      </w:r>
      <w:r>
        <w:rPr>
          <w:spacing w:val="40"/>
          <w:vertAlign w:val="baseline"/>
        </w:rPr>
        <w:t> </w:t>
      </w:r>
      <w:r>
        <w:rPr>
          <w:vertAlign w:val="baseline"/>
        </w:rPr>
        <w:t>This indicates that,</w:t>
      </w:r>
      <w:r>
        <w:rPr>
          <w:spacing w:val="11"/>
          <w:vertAlign w:val="baseline"/>
        </w:rPr>
        <w:t> </w:t>
      </w:r>
      <w:r>
        <w:rPr>
          <w:vertAlign w:val="baseline"/>
        </w:rPr>
        <w:t>on average,</w:t>
      </w:r>
      <w:r>
        <w:rPr>
          <w:spacing w:val="11"/>
          <w:vertAlign w:val="baseline"/>
        </w:rPr>
        <w:t> </w:t>
      </w:r>
      <w:r>
        <w:rPr>
          <w:vertAlign w:val="baseline"/>
        </w:rPr>
        <w:t>states without dependence on oil revenue experience</w:t>
      </w:r>
      <w:r>
        <w:rPr>
          <w:spacing w:val="80"/>
          <w:vertAlign w:val="baseline"/>
        </w:rPr>
        <w:t> </w:t>
      </w:r>
      <w:r>
        <w:rPr>
          <w:spacing w:val="-2"/>
          <w:vertAlign w:val="baseline"/>
        </w:rPr>
        <w:t>a</w:t>
      </w:r>
      <w:r>
        <w:rPr>
          <w:spacing w:val="9"/>
          <w:vertAlign w:val="baseline"/>
        </w:rPr>
        <w:t> </w:t>
      </w:r>
      <w:r>
        <w:rPr>
          <w:spacing w:val="-2"/>
          <w:vertAlign w:val="baseline"/>
        </w:rPr>
        <w:t>substantively</w:t>
      </w:r>
      <w:r>
        <w:rPr>
          <w:spacing w:val="9"/>
          <w:vertAlign w:val="baseline"/>
        </w:rPr>
        <w:t> </w:t>
      </w:r>
      <w:r>
        <w:rPr>
          <w:spacing w:val="-2"/>
          <w:vertAlign w:val="baseline"/>
        </w:rPr>
        <w:t>insignificant</w:t>
      </w:r>
      <w:r>
        <w:rPr>
          <w:spacing w:val="10"/>
          <w:vertAlign w:val="baseline"/>
        </w:rPr>
        <w:t> </w:t>
      </w:r>
      <w:r>
        <w:rPr>
          <w:spacing w:val="-2"/>
          <w:vertAlign w:val="baseline"/>
        </w:rPr>
        <w:t>effect</w:t>
      </w:r>
      <w:r>
        <w:rPr>
          <w:spacing w:val="9"/>
          <w:vertAlign w:val="baseline"/>
        </w:rPr>
        <w:t> </w:t>
      </w:r>
      <w:r>
        <w:rPr>
          <w:spacing w:val="-2"/>
          <w:vertAlign w:val="baseline"/>
        </w:rPr>
        <w:t>on</w:t>
      </w:r>
      <w:r>
        <w:rPr>
          <w:spacing w:val="9"/>
          <w:vertAlign w:val="baseline"/>
        </w:rPr>
        <w:t> </w:t>
      </w:r>
      <w:r>
        <w:rPr>
          <w:spacing w:val="-2"/>
          <w:vertAlign w:val="baseline"/>
        </w:rPr>
        <w:t>the</w:t>
      </w:r>
      <w:r>
        <w:rPr>
          <w:spacing w:val="9"/>
          <w:vertAlign w:val="baseline"/>
        </w:rPr>
        <w:t> </w:t>
      </w:r>
      <w:r>
        <w:rPr>
          <w:spacing w:val="-2"/>
          <w:vertAlign w:val="baseline"/>
        </w:rPr>
        <w:t>level</w:t>
      </w:r>
      <w:r>
        <w:rPr>
          <w:spacing w:val="9"/>
          <w:vertAlign w:val="baseline"/>
        </w:rPr>
        <w:t> </w:t>
      </w:r>
      <w:r>
        <w:rPr>
          <w:spacing w:val="-2"/>
          <w:vertAlign w:val="baseline"/>
        </w:rPr>
        <w:t>of</w:t>
      </w:r>
      <w:r>
        <w:rPr>
          <w:spacing w:val="9"/>
          <w:vertAlign w:val="baseline"/>
        </w:rPr>
        <w:t> </w:t>
      </w:r>
      <w:r>
        <w:rPr>
          <w:spacing w:val="-2"/>
          <w:vertAlign w:val="baseline"/>
        </w:rPr>
        <w:t>conflict</w:t>
      </w:r>
      <w:r>
        <w:rPr>
          <w:spacing w:val="9"/>
          <w:vertAlign w:val="baseline"/>
        </w:rPr>
        <w:t> </w:t>
      </w:r>
      <w:r>
        <w:rPr>
          <w:spacing w:val="-2"/>
          <w:vertAlign w:val="baseline"/>
        </w:rPr>
        <w:t>intensity</w:t>
      </w:r>
      <w:r>
        <w:rPr>
          <w:spacing w:val="9"/>
          <w:vertAlign w:val="baseline"/>
        </w:rPr>
        <w:t> </w:t>
      </w:r>
      <w:r>
        <w:rPr>
          <w:spacing w:val="-2"/>
          <w:vertAlign w:val="baseline"/>
        </w:rPr>
        <w:t>even</w:t>
      </w:r>
      <w:r>
        <w:rPr>
          <w:spacing w:val="9"/>
          <w:vertAlign w:val="baseline"/>
        </w:rPr>
        <w:t> </w:t>
      </w:r>
      <w:r>
        <w:rPr>
          <w:spacing w:val="-2"/>
          <w:vertAlign w:val="baseline"/>
        </w:rPr>
        <w:t>during</w:t>
      </w:r>
      <w:r>
        <w:rPr>
          <w:spacing w:val="10"/>
          <w:vertAlign w:val="baseline"/>
        </w:rPr>
        <w:t> </w:t>
      </w:r>
      <w:r>
        <w:rPr>
          <w:spacing w:val="-2"/>
          <w:vertAlign w:val="baseline"/>
        </w:rPr>
        <w:t>large</w:t>
      </w:r>
      <w:r>
        <w:rPr>
          <w:spacing w:val="9"/>
          <w:vertAlign w:val="baseline"/>
        </w:rPr>
        <w:t> </w:t>
      </w:r>
      <w:r>
        <w:rPr>
          <w:spacing w:val="-2"/>
          <w:vertAlign w:val="baseline"/>
        </w:rPr>
        <w:t>shocks.</w:t>
      </w:r>
      <w:r>
        <w:rPr>
          <w:spacing w:val="36"/>
          <w:vertAlign w:val="baseline"/>
        </w:rPr>
        <w:t> </w:t>
      </w:r>
      <w:r>
        <w:rPr>
          <w:spacing w:val="-2"/>
          <w:vertAlign w:val="baseline"/>
        </w:rPr>
        <w:t>However,</w:t>
      </w:r>
    </w:p>
    <w:p>
      <w:pPr>
        <w:spacing w:before="34"/>
        <w:ind w:left="117" w:right="633" w:firstLine="148"/>
        <w:jc w:val="both"/>
        <w:rPr>
          <w:rFonts w:ascii="Bookman Old Style"/>
          <w:b w:val="0"/>
          <w:sz w:val="16"/>
        </w:rPr>
      </w:pPr>
      <w:r>
        <w:rPr>
          <w:rFonts w:ascii="Bookman Old Style"/>
          <w:b w:val="0"/>
          <w:spacing w:val="-4"/>
          <w:sz w:val="16"/>
          <w:vertAlign w:val="superscript"/>
        </w:rPr>
        <w:t>56</w:t>
      </w:r>
      <w:r>
        <w:rPr>
          <w:rFonts w:ascii="Bookman Old Style"/>
          <w:b w:val="0"/>
          <w:spacing w:val="-4"/>
          <w:sz w:val="16"/>
          <w:vertAlign w:val="baseline"/>
        </w:rPr>
        <w:t>This</w:t>
      </w:r>
      <w:r>
        <w:rPr>
          <w:rFonts w:ascii="Bookman Old Style"/>
          <w:b w:val="0"/>
          <w:spacing w:val="-7"/>
          <w:sz w:val="16"/>
          <w:vertAlign w:val="baseline"/>
        </w:rPr>
        <w:t> </w:t>
      </w:r>
      <w:r>
        <w:rPr>
          <w:rFonts w:ascii="Bookman Old Style"/>
          <w:b w:val="0"/>
          <w:spacing w:val="-4"/>
          <w:sz w:val="16"/>
          <w:vertAlign w:val="baseline"/>
        </w:rPr>
        <w:t>is</w:t>
      </w:r>
      <w:r>
        <w:rPr>
          <w:rFonts w:ascii="Bookman Old Style"/>
          <w:b w:val="0"/>
          <w:spacing w:val="-8"/>
          <w:sz w:val="16"/>
          <w:vertAlign w:val="baseline"/>
        </w:rPr>
        <w:t> </w:t>
      </w:r>
      <w:r>
        <w:rPr>
          <w:rFonts w:ascii="Bookman Old Style"/>
          <w:b w:val="0"/>
          <w:spacing w:val="-4"/>
          <w:sz w:val="16"/>
          <w:vertAlign w:val="baseline"/>
        </w:rPr>
        <w:t>done</w:t>
      </w:r>
      <w:r>
        <w:rPr>
          <w:rFonts w:ascii="Bookman Old Style"/>
          <w:b w:val="0"/>
          <w:spacing w:val="-7"/>
          <w:sz w:val="16"/>
          <w:vertAlign w:val="baseline"/>
        </w:rPr>
        <w:t> </w:t>
      </w:r>
      <w:r>
        <w:rPr>
          <w:rFonts w:ascii="Bookman Old Style"/>
          <w:b w:val="0"/>
          <w:spacing w:val="-4"/>
          <w:sz w:val="16"/>
          <w:vertAlign w:val="baseline"/>
        </w:rPr>
        <w:t>for</w:t>
      </w:r>
      <w:r>
        <w:rPr>
          <w:rFonts w:ascii="Bookman Old Style"/>
          <w:b w:val="0"/>
          <w:spacing w:val="-7"/>
          <w:sz w:val="16"/>
          <w:vertAlign w:val="baseline"/>
        </w:rPr>
        <w:t> </w:t>
      </w:r>
      <w:r>
        <w:rPr>
          <w:rFonts w:ascii="Bookman Old Style"/>
          <w:b w:val="0"/>
          <w:spacing w:val="-4"/>
          <w:sz w:val="16"/>
          <w:vertAlign w:val="baseline"/>
        </w:rPr>
        <w:t>illustrative</w:t>
      </w:r>
      <w:r>
        <w:rPr>
          <w:rFonts w:ascii="Bookman Old Style"/>
          <w:b w:val="0"/>
          <w:spacing w:val="-8"/>
          <w:sz w:val="16"/>
          <w:vertAlign w:val="baseline"/>
        </w:rPr>
        <w:t> </w:t>
      </w:r>
      <w:r>
        <w:rPr>
          <w:rFonts w:ascii="Bookman Old Style"/>
          <w:b w:val="0"/>
          <w:spacing w:val="-4"/>
          <w:sz w:val="16"/>
          <w:vertAlign w:val="baseline"/>
        </w:rPr>
        <w:t>purposes</w:t>
      </w:r>
      <w:r>
        <w:rPr>
          <w:rFonts w:ascii="Bookman Old Style"/>
          <w:b w:val="0"/>
          <w:spacing w:val="-7"/>
          <w:sz w:val="16"/>
          <w:vertAlign w:val="baseline"/>
        </w:rPr>
        <w:t> </w:t>
      </w:r>
      <w:r>
        <w:rPr>
          <w:rFonts w:ascii="Bookman Old Style"/>
          <w:b w:val="0"/>
          <w:spacing w:val="-4"/>
          <w:sz w:val="16"/>
          <w:vertAlign w:val="baseline"/>
        </w:rPr>
        <w:t>to</w:t>
      </w:r>
      <w:r>
        <w:rPr>
          <w:rFonts w:ascii="Bookman Old Style"/>
          <w:b w:val="0"/>
          <w:spacing w:val="-8"/>
          <w:sz w:val="16"/>
          <w:vertAlign w:val="baseline"/>
        </w:rPr>
        <w:t> </w:t>
      </w:r>
      <w:r>
        <w:rPr>
          <w:rFonts w:ascii="Bookman Old Style"/>
          <w:b w:val="0"/>
          <w:spacing w:val="-4"/>
          <w:sz w:val="16"/>
          <w:vertAlign w:val="baseline"/>
        </w:rPr>
        <w:t>provide</w:t>
      </w:r>
      <w:r>
        <w:rPr>
          <w:rFonts w:ascii="Bookman Old Style"/>
          <w:b w:val="0"/>
          <w:spacing w:val="-7"/>
          <w:sz w:val="16"/>
          <w:vertAlign w:val="baseline"/>
        </w:rPr>
        <w:t> </w:t>
      </w:r>
      <w:r>
        <w:rPr>
          <w:rFonts w:ascii="Bookman Old Style"/>
          <w:b w:val="0"/>
          <w:spacing w:val="-4"/>
          <w:sz w:val="16"/>
          <w:vertAlign w:val="baseline"/>
        </w:rPr>
        <w:t>more</w:t>
      </w:r>
      <w:r>
        <w:rPr>
          <w:rFonts w:ascii="Bookman Old Style"/>
          <w:b w:val="0"/>
          <w:spacing w:val="-7"/>
          <w:sz w:val="16"/>
          <w:vertAlign w:val="baseline"/>
        </w:rPr>
        <w:t> </w:t>
      </w:r>
      <w:r>
        <w:rPr>
          <w:rFonts w:ascii="Bookman Old Style"/>
          <w:b w:val="0"/>
          <w:spacing w:val="-4"/>
          <w:sz w:val="16"/>
          <w:vertAlign w:val="baseline"/>
        </w:rPr>
        <w:t>observations.</w:t>
      </w:r>
      <w:r>
        <w:rPr>
          <w:rFonts w:ascii="Bookman Old Style"/>
          <w:b w:val="0"/>
          <w:spacing w:val="11"/>
          <w:sz w:val="16"/>
          <w:vertAlign w:val="baseline"/>
        </w:rPr>
        <w:t> </w:t>
      </w:r>
      <w:r>
        <w:rPr>
          <w:rFonts w:ascii="Bookman Old Style"/>
          <w:b w:val="0"/>
          <w:spacing w:val="-4"/>
          <w:sz w:val="16"/>
          <w:vertAlign w:val="baseline"/>
        </w:rPr>
        <w:t>We</w:t>
      </w:r>
      <w:r>
        <w:rPr>
          <w:rFonts w:ascii="Bookman Old Style"/>
          <w:b w:val="0"/>
          <w:spacing w:val="-7"/>
          <w:sz w:val="16"/>
          <w:vertAlign w:val="baseline"/>
        </w:rPr>
        <w:t> </w:t>
      </w:r>
      <w:r>
        <w:rPr>
          <w:rFonts w:ascii="Bookman Old Style"/>
          <w:b w:val="0"/>
          <w:spacing w:val="-4"/>
          <w:sz w:val="16"/>
          <w:vertAlign w:val="baseline"/>
        </w:rPr>
        <w:t>chose</w:t>
      </w:r>
      <w:r>
        <w:rPr>
          <w:rFonts w:ascii="Bookman Old Style"/>
          <w:b w:val="0"/>
          <w:spacing w:val="-7"/>
          <w:sz w:val="16"/>
          <w:vertAlign w:val="baseline"/>
        </w:rPr>
        <w:t> </w:t>
      </w:r>
      <w:r>
        <w:rPr>
          <w:rFonts w:ascii="Bookman Old Style"/>
          <w:b w:val="0"/>
          <w:spacing w:val="-4"/>
          <w:sz w:val="16"/>
          <w:vertAlign w:val="baseline"/>
        </w:rPr>
        <w:t>models</w:t>
      </w:r>
      <w:r>
        <w:rPr>
          <w:rFonts w:ascii="Bookman Old Style"/>
          <w:b w:val="0"/>
          <w:spacing w:val="-7"/>
          <w:sz w:val="16"/>
          <w:vertAlign w:val="baseline"/>
        </w:rPr>
        <w:t> </w:t>
      </w:r>
      <w:r>
        <w:rPr>
          <w:rFonts w:ascii="Bookman Old Style"/>
          <w:b w:val="0"/>
          <w:spacing w:val="-4"/>
          <w:sz w:val="16"/>
          <w:vertAlign w:val="baseline"/>
        </w:rPr>
        <w:t>using</w:t>
      </w:r>
      <w:r>
        <w:rPr>
          <w:rFonts w:ascii="Bookman Old Style"/>
          <w:b w:val="0"/>
          <w:spacing w:val="-7"/>
          <w:sz w:val="16"/>
          <w:vertAlign w:val="baseline"/>
        </w:rPr>
        <w:t> </w:t>
      </w:r>
      <w:r>
        <w:rPr>
          <w:rFonts w:ascii="Bookman Old Style"/>
          <w:b w:val="0"/>
          <w:spacing w:val="-4"/>
          <w:sz w:val="16"/>
          <w:vertAlign w:val="baseline"/>
        </w:rPr>
        <w:t>yearly</w:t>
      </w:r>
      <w:r>
        <w:rPr>
          <w:rFonts w:ascii="Bookman Old Style"/>
          <w:b w:val="0"/>
          <w:spacing w:val="-8"/>
          <w:sz w:val="16"/>
          <w:vertAlign w:val="baseline"/>
        </w:rPr>
        <w:t> </w:t>
      </w:r>
      <w:r>
        <w:rPr>
          <w:rFonts w:ascii="Bookman Old Style"/>
          <w:b w:val="0"/>
          <w:spacing w:val="-4"/>
          <w:sz w:val="16"/>
          <w:vertAlign w:val="baseline"/>
        </w:rPr>
        <w:t>oil</w:t>
      </w:r>
      <w:r>
        <w:rPr>
          <w:rFonts w:ascii="Bookman Old Style"/>
          <w:b w:val="0"/>
          <w:spacing w:val="-7"/>
          <w:sz w:val="16"/>
          <w:vertAlign w:val="baseline"/>
        </w:rPr>
        <w:t> </w:t>
      </w:r>
      <w:r>
        <w:rPr>
          <w:rFonts w:ascii="Bookman Old Style"/>
          <w:b w:val="0"/>
          <w:spacing w:val="-4"/>
          <w:sz w:val="16"/>
          <w:vertAlign w:val="baseline"/>
        </w:rPr>
        <w:t>price</w:t>
      </w:r>
      <w:r>
        <w:rPr>
          <w:rFonts w:ascii="Bookman Old Style"/>
          <w:b w:val="0"/>
          <w:spacing w:val="-7"/>
          <w:sz w:val="16"/>
          <w:vertAlign w:val="baseline"/>
        </w:rPr>
        <w:t> </w:t>
      </w:r>
      <w:r>
        <w:rPr>
          <w:rFonts w:ascii="Bookman Old Style"/>
          <w:b w:val="0"/>
          <w:spacing w:val="-4"/>
          <w:sz w:val="16"/>
          <w:vertAlign w:val="baseline"/>
        </w:rPr>
        <w:t>data</w:t>
      </w:r>
      <w:r>
        <w:rPr>
          <w:rFonts w:ascii="Bookman Old Style"/>
          <w:b w:val="0"/>
          <w:spacing w:val="-8"/>
          <w:sz w:val="16"/>
          <w:vertAlign w:val="baseline"/>
        </w:rPr>
        <w:t> </w:t>
      </w:r>
      <w:r>
        <w:rPr>
          <w:rFonts w:ascii="Bookman Old Style"/>
          <w:b w:val="0"/>
          <w:spacing w:val="-4"/>
          <w:sz w:val="16"/>
          <w:vertAlign w:val="baseline"/>
        </w:rPr>
        <w:t>in</w:t>
      </w:r>
      <w:r>
        <w:rPr>
          <w:rFonts w:ascii="Bookman Old Style"/>
          <w:b w:val="0"/>
          <w:spacing w:val="-7"/>
          <w:sz w:val="16"/>
          <w:vertAlign w:val="baseline"/>
        </w:rPr>
        <w:t> </w:t>
      </w:r>
      <w:r>
        <w:rPr>
          <w:rFonts w:ascii="Bookman Old Style"/>
          <w:b w:val="0"/>
          <w:spacing w:val="-4"/>
          <w:sz w:val="16"/>
          <w:vertAlign w:val="baseline"/>
        </w:rPr>
        <w:t>the </w:t>
      </w:r>
      <w:r>
        <w:rPr>
          <w:rFonts w:ascii="Bookman Old Style"/>
          <w:b w:val="0"/>
          <w:spacing w:val="-2"/>
          <w:sz w:val="16"/>
          <w:vertAlign w:val="baseline"/>
        </w:rPr>
        <w:t>tables</w:t>
      </w:r>
      <w:r>
        <w:rPr>
          <w:rFonts w:ascii="Bookman Old Style"/>
          <w:b w:val="0"/>
          <w:spacing w:val="-10"/>
          <w:sz w:val="16"/>
          <w:vertAlign w:val="baseline"/>
        </w:rPr>
        <w:t> </w:t>
      </w:r>
      <w:r>
        <w:rPr>
          <w:rFonts w:ascii="Bookman Old Style"/>
          <w:b w:val="0"/>
          <w:spacing w:val="-2"/>
          <w:sz w:val="16"/>
          <w:vertAlign w:val="baseline"/>
        </w:rPr>
        <w:t>because</w:t>
      </w:r>
      <w:r>
        <w:rPr>
          <w:rFonts w:ascii="Bookman Old Style"/>
          <w:b w:val="0"/>
          <w:spacing w:val="-10"/>
          <w:sz w:val="16"/>
          <w:vertAlign w:val="baseline"/>
        </w:rPr>
        <w:t> </w:t>
      </w:r>
      <w:r>
        <w:rPr>
          <w:rFonts w:ascii="Bookman Old Style"/>
          <w:b w:val="0"/>
          <w:spacing w:val="-2"/>
          <w:sz w:val="16"/>
          <w:vertAlign w:val="baseline"/>
        </w:rPr>
        <w:t>our</w:t>
      </w:r>
      <w:r>
        <w:rPr>
          <w:rFonts w:ascii="Bookman Old Style"/>
          <w:b w:val="0"/>
          <w:spacing w:val="-10"/>
          <w:sz w:val="16"/>
          <w:vertAlign w:val="baseline"/>
        </w:rPr>
        <w:t> </w:t>
      </w:r>
      <w:r>
        <w:rPr>
          <w:rFonts w:ascii="Bookman Old Style"/>
          <w:b w:val="0"/>
          <w:spacing w:val="-2"/>
          <w:sz w:val="16"/>
          <w:vertAlign w:val="baseline"/>
        </w:rPr>
        <w:t>conflict</w:t>
      </w:r>
      <w:r>
        <w:rPr>
          <w:rFonts w:ascii="Bookman Old Style"/>
          <w:b w:val="0"/>
          <w:spacing w:val="-10"/>
          <w:sz w:val="16"/>
          <w:vertAlign w:val="baseline"/>
        </w:rPr>
        <w:t> </w:t>
      </w:r>
      <w:r>
        <w:rPr>
          <w:rFonts w:ascii="Bookman Old Style"/>
          <w:b w:val="0"/>
          <w:spacing w:val="-2"/>
          <w:sz w:val="16"/>
          <w:vertAlign w:val="baseline"/>
        </w:rPr>
        <w:t>and</w:t>
      </w:r>
      <w:r>
        <w:rPr>
          <w:rFonts w:ascii="Bookman Old Style"/>
          <w:b w:val="0"/>
          <w:spacing w:val="-10"/>
          <w:sz w:val="16"/>
          <w:vertAlign w:val="baseline"/>
        </w:rPr>
        <w:t> </w:t>
      </w:r>
      <w:r>
        <w:rPr>
          <w:rFonts w:ascii="Bookman Old Style"/>
          <w:b w:val="0"/>
          <w:spacing w:val="-2"/>
          <w:sz w:val="16"/>
          <w:vertAlign w:val="baseline"/>
        </w:rPr>
        <w:t>spending</w:t>
      </w:r>
      <w:r>
        <w:rPr>
          <w:rFonts w:ascii="Bookman Old Style"/>
          <w:b w:val="0"/>
          <w:spacing w:val="-10"/>
          <w:sz w:val="16"/>
          <w:vertAlign w:val="baseline"/>
        </w:rPr>
        <w:t> </w:t>
      </w:r>
      <w:r>
        <w:rPr>
          <w:rFonts w:ascii="Bookman Old Style"/>
          <w:b w:val="0"/>
          <w:spacing w:val="-2"/>
          <w:sz w:val="16"/>
          <w:vertAlign w:val="baseline"/>
        </w:rPr>
        <w:t>data</w:t>
      </w:r>
      <w:r>
        <w:rPr>
          <w:rFonts w:ascii="Bookman Old Style"/>
          <w:b w:val="0"/>
          <w:spacing w:val="-10"/>
          <w:sz w:val="16"/>
          <w:vertAlign w:val="baseline"/>
        </w:rPr>
        <w:t> </w:t>
      </w:r>
      <w:r>
        <w:rPr>
          <w:rFonts w:ascii="Bookman Old Style"/>
          <w:b w:val="0"/>
          <w:spacing w:val="-2"/>
          <w:sz w:val="16"/>
          <w:vertAlign w:val="baseline"/>
        </w:rPr>
        <w:t>is</w:t>
      </w:r>
      <w:r>
        <w:rPr>
          <w:rFonts w:ascii="Bookman Old Style"/>
          <w:b w:val="0"/>
          <w:spacing w:val="-10"/>
          <w:sz w:val="16"/>
          <w:vertAlign w:val="baseline"/>
        </w:rPr>
        <w:t> </w:t>
      </w:r>
      <w:r>
        <w:rPr>
          <w:rFonts w:ascii="Bookman Old Style"/>
          <w:b w:val="0"/>
          <w:spacing w:val="-2"/>
          <w:sz w:val="16"/>
          <w:vertAlign w:val="baseline"/>
        </w:rPr>
        <w:t>yearly.</w:t>
      </w:r>
      <w:r>
        <w:rPr>
          <w:rFonts w:ascii="Bookman Old Style"/>
          <w:b w:val="0"/>
          <w:spacing w:val="12"/>
          <w:sz w:val="16"/>
          <w:vertAlign w:val="baseline"/>
        </w:rPr>
        <w:t> </w:t>
      </w:r>
      <w:r>
        <w:rPr>
          <w:rFonts w:ascii="Bookman Old Style"/>
          <w:b w:val="0"/>
          <w:spacing w:val="-2"/>
          <w:sz w:val="16"/>
          <w:vertAlign w:val="baseline"/>
        </w:rPr>
        <w:t>The</w:t>
      </w:r>
      <w:r>
        <w:rPr>
          <w:rFonts w:ascii="Bookman Old Style"/>
          <w:b w:val="0"/>
          <w:spacing w:val="-10"/>
          <w:sz w:val="16"/>
          <w:vertAlign w:val="baseline"/>
        </w:rPr>
        <w:t> </w:t>
      </w:r>
      <w:r>
        <w:rPr>
          <w:rFonts w:ascii="Bookman Old Style"/>
          <w:b w:val="0"/>
          <w:spacing w:val="-2"/>
          <w:sz w:val="16"/>
          <w:vertAlign w:val="baseline"/>
        </w:rPr>
        <w:t>model</w:t>
      </w:r>
      <w:r>
        <w:rPr>
          <w:rFonts w:ascii="Bookman Old Style"/>
          <w:b w:val="0"/>
          <w:spacing w:val="-10"/>
          <w:sz w:val="16"/>
          <w:vertAlign w:val="baseline"/>
        </w:rPr>
        <w:t> </w:t>
      </w:r>
      <w:r>
        <w:rPr>
          <w:rFonts w:ascii="Bookman Old Style"/>
          <w:b w:val="0"/>
          <w:spacing w:val="-2"/>
          <w:sz w:val="16"/>
          <w:vertAlign w:val="baseline"/>
        </w:rPr>
        <w:t>using</w:t>
      </w:r>
      <w:r>
        <w:rPr>
          <w:rFonts w:ascii="Bookman Old Style"/>
          <w:b w:val="0"/>
          <w:spacing w:val="-10"/>
          <w:sz w:val="16"/>
          <w:vertAlign w:val="baseline"/>
        </w:rPr>
        <w:t> </w:t>
      </w:r>
      <w:r>
        <w:rPr>
          <w:rFonts w:ascii="Bookman Old Style"/>
          <w:b w:val="0"/>
          <w:spacing w:val="-2"/>
          <w:sz w:val="16"/>
          <w:vertAlign w:val="baseline"/>
        </w:rPr>
        <w:t>monthly</w:t>
      </w:r>
      <w:r>
        <w:rPr>
          <w:rFonts w:ascii="Bookman Old Style"/>
          <w:b w:val="0"/>
          <w:spacing w:val="-10"/>
          <w:sz w:val="16"/>
          <w:vertAlign w:val="baseline"/>
        </w:rPr>
        <w:t> </w:t>
      </w:r>
      <w:r>
        <w:rPr>
          <w:rFonts w:ascii="Bookman Old Style"/>
          <w:b w:val="0"/>
          <w:spacing w:val="-2"/>
          <w:sz w:val="16"/>
          <w:vertAlign w:val="baseline"/>
        </w:rPr>
        <w:t>data</w:t>
      </w:r>
      <w:r>
        <w:rPr>
          <w:rFonts w:ascii="Bookman Old Style"/>
          <w:b w:val="0"/>
          <w:spacing w:val="-10"/>
          <w:sz w:val="16"/>
          <w:vertAlign w:val="baseline"/>
        </w:rPr>
        <w:t> </w:t>
      </w:r>
      <w:r>
        <w:rPr>
          <w:rFonts w:ascii="Bookman Old Style"/>
          <w:b w:val="0"/>
          <w:spacing w:val="-2"/>
          <w:sz w:val="16"/>
          <w:vertAlign w:val="baseline"/>
        </w:rPr>
        <w:t>used</w:t>
      </w:r>
      <w:r>
        <w:rPr>
          <w:rFonts w:ascii="Bookman Old Style"/>
          <w:b w:val="0"/>
          <w:spacing w:val="-10"/>
          <w:sz w:val="16"/>
          <w:vertAlign w:val="baseline"/>
        </w:rPr>
        <w:t> </w:t>
      </w:r>
      <w:r>
        <w:rPr>
          <w:rFonts w:ascii="Bookman Old Style"/>
          <w:b w:val="0"/>
          <w:spacing w:val="-2"/>
          <w:sz w:val="16"/>
          <w:vertAlign w:val="baseline"/>
        </w:rPr>
        <w:t>for</w:t>
      </w:r>
      <w:r>
        <w:rPr>
          <w:rFonts w:ascii="Bookman Old Style"/>
          <w:b w:val="0"/>
          <w:spacing w:val="-10"/>
          <w:sz w:val="16"/>
          <w:vertAlign w:val="baseline"/>
        </w:rPr>
        <w:t> </w:t>
      </w:r>
      <w:r>
        <w:rPr>
          <w:rFonts w:ascii="Bookman Old Style"/>
          <w:b w:val="0"/>
          <w:spacing w:val="-2"/>
          <w:sz w:val="16"/>
          <w:vertAlign w:val="baseline"/>
        </w:rPr>
        <w:t>this</w:t>
      </w:r>
      <w:r>
        <w:rPr>
          <w:rFonts w:ascii="Bookman Old Style"/>
          <w:b w:val="0"/>
          <w:spacing w:val="-10"/>
          <w:sz w:val="16"/>
          <w:vertAlign w:val="baseline"/>
        </w:rPr>
        <w:t> </w:t>
      </w:r>
      <w:r>
        <w:rPr>
          <w:rFonts w:ascii="Bookman Old Style"/>
          <w:b w:val="0"/>
          <w:spacing w:val="-2"/>
          <w:sz w:val="16"/>
          <w:vertAlign w:val="baseline"/>
        </w:rPr>
        <w:t>illustration</w:t>
      </w:r>
      <w:r>
        <w:rPr>
          <w:rFonts w:ascii="Bookman Old Style"/>
          <w:b w:val="0"/>
          <w:spacing w:val="-10"/>
          <w:sz w:val="16"/>
          <w:vertAlign w:val="baseline"/>
        </w:rPr>
        <w:t> </w:t>
      </w:r>
      <w:r>
        <w:rPr>
          <w:rFonts w:ascii="Bookman Old Style"/>
          <w:b w:val="0"/>
          <w:spacing w:val="-2"/>
          <w:sz w:val="16"/>
          <w:vertAlign w:val="baseline"/>
        </w:rPr>
        <w:t>can</w:t>
      </w:r>
      <w:r>
        <w:rPr>
          <w:rFonts w:ascii="Bookman Old Style"/>
          <w:b w:val="0"/>
          <w:spacing w:val="-10"/>
          <w:sz w:val="16"/>
          <w:vertAlign w:val="baseline"/>
        </w:rPr>
        <w:t> </w:t>
      </w:r>
      <w:r>
        <w:rPr>
          <w:rFonts w:ascii="Bookman Old Style"/>
          <w:b w:val="0"/>
          <w:spacing w:val="-2"/>
          <w:sz w:val="16"/>
          <w:vertAlign w:val="baseline"/>
        </w:rPr>
        <w:t>be </w:t>
      </w:r>
      <w:r>
        <w:rPr>
          <w:rFonts w:ascii="Bookman Old Style"/>
          <w:b w:val="0"/>
          <w:sz w:val="16"/>
          <w:vertAlign w:val="baseline"/>
        </w:rPr>
        <w:t>found in the appendix.</w:t>
      </w:r>
    </w:p>
    <w:p>
      <w:pPr>
        <w:spacing w:after="0"/>
        <w:jc w:val="both"/>
        <w:rPr>
          <w:rFonts w:ascii="Bookman Old Style"/>
          <w:sz w:val="16"/>
        </w:rPr>
        <w:sectPr>
          <w:pgSz w:w="12240" w:h="15840"/>
          <w:pgMar w:header="0" w:footer="1252" w:top="1100" w:bottom="1440" w:left="1300" w:right="1200"/>
        </w:sectPr>
      </w:pPr>
    </w:p>
    <w:p>
      <w:pPr>
        <w:pStyle w:val="BodyText"/>
        <w:spacing w:line="316" w:lineRule="auto" w:before="49"/>
        <w:ind w:left="117" w:right="633"/>
        <w:jc w:val="both"/>
      </w:pPr>
      <w:r>
        <w:rPr/>
        <w:t>for</w:t>
      </w:r>
      <w:r>
        <w:rPr>
          <w:spacing w:val="-13"/>
        </w:rPr>
        <w:t> </w:t>
      </w:r>
      <w:r>
        <w:rPr/>
        <w:t>states</w:t>
      </w:r>
      <w:r>
        <w:rPr>
          <w:spacing w:val="-12"/>
        </w:rPr>
        <w:t> </w:t>
      </w:r>
      <w:r>
        <w:rPr/>
        <w:t>in</w:t>
      </w:r>
      <w:r>
        <w:rPr>
          <w:spacing w:val="-12"/>
        </w:rPr>
        <w:t> </w:t>
      </w:r>
      <w:r>
        <w:rPr/>
        <w:t>which</w:t>
      </w:r>
      <w:r>
        <w:rPr>
          <w:spacing w:val="-12"/>
        </w:rPr>
        <w:t> </w:t>
      </w:r>
      <w:r>
        <w:rPr/>
        <w:t>oil</w:t>
      </w:r>
      <w:r>
        <w:rPr>
          <w:spacing w:val="-12"/>
        </w:rPr>
        <w:t> </w:t>
      </w:r>
      <w:r>
        <w:rPr/>
        <w:t>represents</w:t>
      </w:r>
      <w:r>
        <w:rPr>
          <w:spacing w:val="-12"/>
        </w:rPr>
        <w:t> </w:t>
      </w:r>
      <w:r>
        <w:rPr/>
        <w:t>over</w:t>
      </w:r>
      <w:r>
        <w:rPr>
          <w:spacing w:val="-12"/>
        </w:rPr>
        <w:t> </w:t>
      </w:r>
      <w:r>
        <w:rPr/>
        <w:t>20</w:t>
      </w:r>
      <w:r>
        <w:rPr>
          <w:spacing w:val="-12"/>
        </w:rPr>
        <w:t> </w:t>
      </w:r>
      <w:r>
        <w:rPr/>
        <w:t>percent</w:t>
      </w:r>
      <w:r>
        <w:rPr>
          <w:spacing w:val="-12"/>
        </w:rPr>
        <w:t> </w:t>
      </w:r>
      <w:r>
        <w:rPr/>
        <w:t>of</w:t>
      </w:r>
      <w:r>
        <w:rPr>
          <w:spacing w:val="-12"/>
        </w:rPr>
        <w:t> </w:t>
      </w:r>
      <w:r>
        <w:rPr/>
        <w:t>gross</w:t>
      </w:r>
      <w:r>
        <w:rPr>
          <w:spacing w:val="-12"/>
        </w:rPr>
        <w:t> </w:t>
      </w:r>
      <w:r>
        <w:rPr/>
        <w:t>domestic</w:t>
      </w:r>
      <w:r>
        <w:rPr>
          <w:spacing w:val="-12"/>
        </w:rPr>
        <w:t> </w:t>
      </w:r>
      <w:r>
        <w:rPr/>
        <w:t>product,</w:t>
      </w:r>
      <w:r>
        <w:rPr>
          <w:spacing w:val="-12"/>
        </w:rPr>
        <w:t> </w:t>
      </w:r>
      <w:r>
        <w:rPr/>
        <w:t>the</w:t>
      </w:r>
      <w:r>
        <w:rPr>
          <w:spacing w:val="-12"/>
        </w:rPr>
        <w:t> </w:t>
      </w:r>
      <w:r>
        <w:rPr/>
        <w:t>negative</w:t>
      </w:r>
      <w:r>
        <w:rPr>
          <w:spacing w:val="-12"/>
        </w:rPr>
        <w:t> </w:t>
      </w:r>
      <w:r>
        <w:rPr/>
        <w:t>marginal</w:t>
      </w:r>
      <w:r>
        <w:rPr>
          <w:spacing w:val="-12"/>
        </w:rPr>
        <w:t> </w:t>
      </w:r>
      <w:r>
        <w:rPr/>
        <w:t>effect of price increases on conflict intensity are more significant.</w:t>
      </w:r>
      <w:r>
        <w:rPr>
          <w:spacing w:val="30"/>
        </w:rPr>
        <w:t> </w:t>
      </w:r>
      <w:r>
        <w:rPr/>
        <w:t>Around the median point, where oil rents represent approximately 30 percent of GDP, a one dollar increase in oil prices is expected to result in approximately</w:t>
      </w:r>
      <w:r>
        <w:rPr>
          <w:spacing w:val="-4"/>
        </w:rPr>
        <w:t> </w:t>
      </w:r>
      <w:r>
        <w:rPr/>
        <w:t>0.6</w:t>
      </w:r>
      <w:r>
        <w:rPr>
          <w:spacing w:val="-4"/>
        </w:rPr>
        <w:t> </w:t>
      </w:r>
      <w:r>
        <w:rPr/>
        <w:t>fewer</w:t>
      </w:r>
      <w:r>
        <w:rPr>
          <w:spacing w:val="-4"/>
        </w:rPr>
        <w:t> </w:t>
      </w:r>
      <w:r>
        <w:rPr/>
        <w:t>monthly</w:t>
      </w:r>
      <w:r>
        <w:rPr>
          <w:spacing w:val="-4"/>
        </w:rPr>
        <w:t> </w:t>
      </w:r>
      <w:r>
        <w:rPr/>
        <w:t>battle</w:t>
      </w:r>
      <w:r>
        <w:rPr>
          <w:spacing w:val="-4"/>
        </w:rPr>
        <w:t> </w:t>
      </w:r>
      <w:r>
        <w:rPr/>
        <w:t>deaths. This</w:t>
      </w:r>
      <w:r>
        <w:rPr>
          <w:spacing w:val="-4"/>
        </w:rPr>
        <w:t> </w:t>
      </w:r>
      <w:r>
        <w:rPr/>
        <w:t>is</w:t>
      </w:r>
      <w:r>
        <w:rPr>
          <w:spacing w:val="-4"/>
        </w:rPr>
        <w:t> </w:t>
      </w:r>
      <w:r>
        <w:rPr/>
        <w:t>equivalent</w:t>
      </w:r>
      <w:r>
        <w:rPr>
          <w:spacing w:val="-4"/>
        </w:rPr>
        <w:t> </w:t>
      </w:r>
      <w:r>
        <w:rPr/>
        <w:t>to</w:t>
      </w:r>
      <w:r>
        <w:rPr>
          <w:spacing w:val="-4"/>
        </w:rPr>
        <w:t> </w:t>
      </w:r>
      <w:r>
        <w:rPr/>
        <w:t>roughly</w:t>
      </w:r>
      <w:r>
        <w:rPr>
          <w:spacing w:val="-4"/>
        </w:rPr>
        <w:t> </w:t>
      </w:r>
      <w:r>
        <w:rPr/>
        <w:t>72</w:t>
      </w:r>
      <w:r>
        <w:rPr>
          <w:spacing w:val="-4"/>
        </w:rPr>
        <w:t> </w:t>
      </w:r>
      <w:r>
        <w:rPr/>
        <w:t>fewer</w:t>
      </w:r>
      <w:r>
        <w:rPr>
          <w:spacing w:val="-4"/>
        </w:rPr>
        <w:t> </w:t>
      </w:r>
      <w:r>
        <w:rPr/>
        <w:t>battle</w:t>
      </w:r>
      <w:r>
        <w:rPr>
          <w:spacing w:val="-4"/>
        </w:rPr>
        <w:t> </w:t>
      </w:r>
      <w:r>
        <w:rPr/>
        <w:t>deaths</w:t>
      </w:r>
      <w:r>
        <w:rPr>
          <w:spacing w:val="-4"/>
        </w:rPr>
        <w:t> </w:t>
      </w:r>
      <w:r>
        <w:rPr/>
        <w:t>on average</w:t>
      </w:r>
      <w:r>
        <w:rPr>
          <w:spacing w:val="-7"/>
        </w:rPr>
        <w:t> </w:t>
      </w:r>
      <w:r>
        <w:rPr/>
        <w:t>in</w:t>
      </w:r>
      <w:r>
        <w:rPr>
          <w:spacing w:val="-7"/>
        </w:rPr>
        <w:t> </w:t>
      </w:r>
      <w:r>
        <w:rPr/>
        <w:t>a</w:t>
      </w:r>
      <w:r>
        <w:rPr>
          <w:spacing w:val="-7"/>
        </w:rPr>
        <w:t> </w:t>
      </w:r>
      <w:r>
        <w:rPr/>
        <w:t>year</w:t>
      </w:r>
      <w:r>
        <w:rPr>
          <w:spacing w:val="-7"/>
        </w:rPr>
        <w:t> </w:t>
      </w:r>
      <w:r>
        <w:rPr/>
        <w:t>where</w:t>
      </w:r>
      <w:r>
        <w:rPr>
          <w:spacing w:val="-7"/>
        </w:rPr>
        <w:t> </w:t>
      </w:r>
      <w:r>
        <w:rPr/>
        <w:t>prices</w:t>
      </w:r>
      <w:r>
        <w:rPr>
          <w:spacing w:val="-7"/>
        </w:rPr>
        <w:t> </w:t>
      </w:r>
      <w:r>
        <w:rPr/>
        <w:t>increased</w:t>
      </w:r>
      <w:r>
        <w:rPr>
          <w:spacing w:val="-7"/>
        </w:rPr>
        <w:t> </w:t>
      </w:r>
      <w:r>
        <w:rPr/>
        <w:t>by</w:t>
      </w:r>
      <w:r>
        <w:rPr>
          <w:spacing w:val="-7"/>
        </w:rPr>
        <w:t> </w:t>
      </w:r>
      <w:r>
        <w:rPr/>
        <w:t>USD</w:t>
      </w:r>
      <w:r>
        <w:rPr>
          <w:spacing w:val="-7"/>
        </w:rPr>
        <w:t> </w:t>
      </w:r>
      <w:r>
        <w:rPr/>
        <w:t>10.</w:t>
      </w:r>
      <w:r>
        <w:rPr>
          <w:spacing w:val="10"/>
        </w:rPr>
        <w:t> </w:t>
      </w:r>
      <w:r>
        <w:rPr/>
        <w:t>This</w:t>
      </w:r>
      <w:r>
        <w:rPr>
          <w:spacing w:val="-7"/>
        </w:rPr>
        <w:t> </w:t>
      </w:r>
      <w:r>
        <w:rPr/>
        <w:t>illustration</w:t>
      </w:r>
      <w:r>
        <w:rPr>
          <w:spacing w:val="-7"/>
        </w:rPr>
        <w:t> </w:t>
      </w:r>
      <w:r>
        <w:rPr/>
        <w:t>mirrors</w:t>
      </w:r>
      <w:r>
        <w:rPr>
          <w:spacing w:val="-7"/>
        </w:rPr>
        <w:t> </w:t>
      </w:r>
      <w:r>
        <w:rPr/>
        <w:t>the</w:t>
      </w:r>
      <w:r>
        <w:rPr>
          <w:spacing w:val="-7"/>
        </w:rPr>
        <w:t> </w:t>
      </w:r>
      <w:r>
        <w:rPr/>
        <w:t>results</w:t>
      </w:r>
      <w:r>
        <w:rPr>
          <w:spacing w:val="-7"/>
        </w:rPr>
        <w:t> </w:t>
      </w:r>
      <w:r>
        <w:rPr/>
        <w:t>from</w:t>
      </w:r>
      <w:r>
        <w:rPr>
          <w:spacing w:val="-7"/>
        </w:rPr>
        <w:t> </w:t>
      </w:r>
      <w:r>
        <w:rPr/>
        <w:t>the</w:t>
      </w:r>
      <w:r>
        <w:rPr>
          <w:spacing w:val="-7"/>
        </w:rPr>
        <w:t> </w:t>
      </w:r>
      <w:r>
        <w:rPr/>
        <w:t>three non-interactive</w:t>
      </w:r>
      <w:r>
        <w:rPr>
          <w:spacing w:val="-10"/>
        </w:rPr>
        <w:t> </w:t>
      </w:r>
      <w:r>
        <w:rPr/>
        <w:t>models</w:t>
      </w:r>
      <w:r>
        <w:rPr>
          <w:spacing w:val="-10"/>
        </w:rPr>
        <w:t> </w:t>
      </w:r>
      <w:r>
        <w:rPr/>
        <w:t>illustrated</w:t>
      </w:r>
      <w:r>
        <w:rPr>
          <w:spacing w:val="-10"/>
        </w:rPr>
        <w:t> </w:t>
      </w:r>
      <w:r>
        <w:rPr/>
        <w:t>in</w:t>
      </w:r>
      <w:r>
        <w:rPr>
          <w:spacing w:val="-10"/>
        </w:rPr>
        <w:t> </w:t>
      </w:r>
      <w:r>
        <w:rPr/>
        <w:t>Figure</w:t>
      </w:r>
      <w:r>
        <w:rPr>
          <w:spacing w:val="-10"/>
        </w:rPr>
        <w:t> </w:t>
      </w:r>
      <w:r>
        <w:rPr/>
        <w:t>1,</w:t>
      </w:r>
      <w:r>
        <w:rPr>
          <w:spacing w:val="-9"/>
        </w:rPr>
        <w:t> </w:t>
      </w:r>
      <w:r>
        <w:rPr/>
        <w:t>where</w:t>
      </w:r>
      <w:r>
        <w:rPr>
          <w:spacing w:val="-10"/>
        </w:rPr>
        <w:t> </w:t>
      </w:r>
      <w:r>
        <w:rPr/>
        <w:t>the</w:t>
      </w:r>
      <w:r>
        <w:rPr>
          <w:spacing w:val="-10"/>
        </w:rPr>
        <w:t> </w:t>
      </w:r>
      <w:r>
        <w:rPr/>
        <w:t>effect</w:t>
      </w:r>
      <w:r>
        <w:rPr>
          <w:spacing w:val="-10"/>
        </w:rPr>
        <w:t> </w:t>
      </w:r>
      <w:r>
        <w:rPr/>
        <w:t>was</w:t>
      </w:r>
      <w:r>
        <w:rPr>
          <w:spacing w:val="-10"/>
        </w:rPr>
        <w:t> </w:t>
      </w:r>
      <w:r>
        <w:rPr/>
        <w:t>observed</w:t>
      </w:r>
      <w:r>
        <w:rPr>
          <w:spacing w:val="-10"/>
        </w:rPr>
        <w:t> </w:t>
      </w:r>
      <w:r>
        <w:rPr/>
        <w:t>most</w:t>
      </w:r>
      <w:r>
        <w:rPr>
          <w:spacing w:val="-10"/>
        </w:rPr>
        <w:t> </w:t>
      </w:r>
      <w:r>
        <w:rPr/>
        <w:t>strongly</w:t>
      </w:r>
      <w:r>
        <w:rPr>
          <w:spacing w:val="-10"/>
        </w:rPr>
        <w:t> </w:t>
      </w:r>
      <w:r>
        <w:rPr/>
        <w:t>for</w:t>
      </w:r>
      <w:r>
        <w:rPr>
          <w:spacing w:val="-10"/>
        </w:rPr>
        <w:t> </w:t>
      </w:r>
      <w:r>
        <w:rPr/>
        <w:t>the</w:t>
      </w:r>
      <w:r>
        <w:rPr>
          <w:spacing w:val="-10"/>
        </w:rPr>
        <w:t> </w:t>
      </w:r>
      <w:r>
        <w:rPr/>
        <w:t>most oil reliant states.</w:t>
      </w:r>
    </w:p>
    <w:p>
      <w:pPr>
        <w:pStyle w:val="BodyText"/>
        <w:spacing w:before="3"/>
        <w:rPr>
          <w:sz w:val="14"/>
        </w:rPr>
      </w:pPr>
      <w:r>
        <w:rPr/>
        <w:drawing>
          <wp:anchor distT="0" distB="0" distL="0" distR="0" allowOverlap="1" layoutInCell="1" locked="0" behindDoc="0" simplePos="0" relativeHeight="17">
            <wp:simplePos x="0" y="0"/>
            <wp:positionH relativeFrom="page">
              <wp:posOffset>1081949</wp:posOffset>
            </wp:positionH>
            <wp:positionV relativeFrom="paragraph">
              <wp:posOffset>118714</wp:posOffset>
            </wp:positionV>
            <wp:extent cx="5274945" cy="2711767"/>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13" cstate="print"/>
                    <a:stretch>
                      <a:fillRect/>
                    </a:stretch>
                  </pic:blipFill>
                  <pic:spPr>
                    <a:xfrm>
                      <a:off x="0" y="0"/>
                      <a:ext cx="5274945" cy="2711767"/>
                    </a:xfrm>
                    <a:prstGeom prst="rect">
                      <a:avLst/>
                    </a:prstGeom>
                  </pic:spPr>
                </pic:pic>
              </a:graphicData>
            </a:graphic>
          </wp:anchor>
        </w:drawing>
      </w:r>
    </w:p>
    <w:p>
      <w:pPr>
        <w:pStyle w:val="BodyText"/>
      </w:pPr>
    </w:p>
    <w:p>
      <w:pPr>
        <w:pStyle w:val="BodyText"/>
      </w:pPr>
    </w:p>
    <w:p>
      <w:pPr>
        <w:pStyle w:val="BodyText"/>
        <w:spacing w:before="3"/>
      </w:pPr>
    </w:p>
    <w:p>
      <w:pPr>
        <w:pStyle w:val="BodyText"/>
        <w:spacing w:line="316" w:lineRule="auto"/>
        <w:ind w:left="117" w:right="634" w:firstLine="298"/>
        <w:jc w:val="both"/>
      </w:pPr>
      <w:r>
        <w:rPr/>
        <w:t>It is possible that the effects shown in Tables 1 and 2 are weakened in part because the effect of </w:t>
      </w:r>
      <w:r>
        <w:rPr>
          <w:spacing w:val="-2"/>
        </w:rPr>
        <w:t>military</w:t>
      </w:r>
      <w:r>
        <w:rPr>
          <w:spacing w:val="-7"/>
        </w:rPr>
        <w:t> </w:t>
      </w:r>
      <w:r>
        <w:rPr>
          <w:spacing w:val="-2"/>
        </w:rPr>
        <w:t>spending</w:t>
      </w:r>
      <w:r>
        <w:rPr>
          <w:spacing w:val="-7"/>
        </w:rPr>
        <w:t> </w:t>
      </w:r>
      <w:r>
        <w:rPr>
          <w:spacing w:val="-2"/>
        </w:rPr>
        <w:t>on</w:t>
      </w:r>
      <w:r>
        <w:rPr>
          <w:spacing w:val="-7"/>
        </w:rPr>
        <w:t> </w:t>
      </w:r>
      <w:r>
        <w:rPr>
          <w:spacing w:val="-2"/>
        </w:rPr>
        <w:t>battle</w:t>
      </w:r>
      <w:r>
        <w:rPr>
          <w:spacing w:val="-7"/>
        </w:rPr>
        <w:t> </w:t>
      </w:r>
      <w:r>
        <w:rPr>
          <w:spacing w:val="-2"/>
        </w:rPr>
        <w:t>deaths</w:t>
      </w:r>
      <w:r>
        <w:rPr>
          <w:spacing w:val="-7"/>
        </w:rPr>
        <w:t> </w:t>
      </w:r>
      <w:r>
        <w:rPr>
          <w:spacing w:val="-2"/>
        </w:rPr>
        <w:t>may</w:t>
      </w:r>
      <w:r>
        <w:rPr>
          <w:spacing w:val="-7"/>
        </w:rPr>
        <w:t> </w:t>
      </w:r>
      <w:r>
        <w:rPr>
          <w:spacing w:val="-2"/>
        </w:rPr>
        <w:t>in</w:t>
      </w:r>
      <w:r>
        <w:rPr>
          <w:spacing w:val="-7"/>
        </w:rPr>
        <w:t> </w:t>
      </w:r>
      <w:r>
        <w:rPr>
          <w:spacing w:val="-2"/>
        </w:rPr>
        <w:t>some</w:t>
      </w:r>
      <w:r>
        <w:rPr>
          <w:spacing w:val="-7"/>
        </w:rPr>
        <w:t> </w:t>
      </w:r>
      <w:r>
        <w:rPr>
          <w:spacing w:val="-2"/>
        </w:rPr>
        <w:t>cases</w:t>
      </w:r>
      <w:r>
        <w:rPr>
          <w:spacing w:val="-7"/>
        </w:rPr>
        <w:t> </w:t>
      </w:r>
      <w:r>
        <w:rPr>
          <w:spacing w:val="-2"/>
        </w:rPr>
        <w:t>work</w:t>
      </w:r>
      <w:r>
        <w:rPr>
          <w:spacing w:val="-7"/>
        </w:rPr>
        <w:t> </w:t>
      </w:r>
      <w:r>
        <w:rPr>
          <w:spacing w:val="-2"/>
        </w:rPr>
        <w:t>in</w:t>
      </w:r>
      <w:r>
        <w:rPr>
          <w:spacing w:val="-7"/>
        </w:rPr>
        <w:t> </w:t>
      </w:r>
      <w:r>
        <w:rPr>
          <w:spacing w:val="-2"/>
        </w:rPr>
        <w:t>the</w:t>
      </w:r>
      <w:r>
        <w:rPr>
          <w:spacing w:val="-7"/>
        </w:rPr>
        <w:t> </w:t>
      </w:r>
      <w:r>
        <w:rPr>
          <w:spacing w:val="-2"/>
        </w:rPr>
        <w:t>opposite</w:t>
      </w:r>
      <w:r>
        <w:rPr>
          <w:spacing w:val="-7"/>
        </w:rPr>
        <w:t> </w:t>
      </w:r>
      <w:r>
        <w:rPr>
          <w:spacing w:val="-2"/>
        </w:rPr>
        <w:t>direction</w:t>
      </w:r>
      <w:r>
        <w:rPr>
          <w:spacing w:val="-7"/>
        </w:rPr>
        <w:t> </w:t>
      </w:r>
      <w:r>
        <w:rPr>
          <w:spacing w:val="-2"/>
        </w:rPr>
        <w:t>that</w:t>
      </w:r>
      <w:r>
        <w:rPr>
          <w:spacing w:val="-7"/>
        </w:rPr>
        <w:t> </w:t>
      </w:r>
      <w:r>
        <w:rPr>
          <w:spacing w:val="-2"/>
        </w:rPr>
        <w:t>we</w:t>
      </w:r>
      <w:r>
        <w:rPr>
          <w:spacing w:val="-7"/>
        </w:rPr>
        <w:t> </w:t>
      </w:r>
      <w:r>
        <w:rPr>
          <w:spacing w:val="-2"/>
        </w:rPr>
        <w:t>hypothesize. </w:t>
      </w:r>
      <w:r>
        <w:rPr/>
        <w:t>For</w:t>
      </w:r>
      <w:r>
        <w:rPr>
          <w:spacing w:val="-12"/>
        </w:rPr>
        <w:t> </w:t>
      </w:r>
      <w:r>
        <w:rPr/>
        <w:t>example,</w:t>
      </w:r>
      <w:r>
        <w:rPr>
          <w:spacing w:val="-11"/>
        </w:rPr>
        <w:t> </w:t>
      </w:r>
      <w:r>
        <w:rPr/>
        <w:t>if</w:t>
      </w:r>
      <w:r>
        <w:rPr>
          <w:spacing w:val="-11"/>
        </w:rPr>
        <w:t> </w:t>
      </w:r>
      <w:r>
        <w:rPr/>
        <w:t>increased</w:t>
      </w:r>
      <w:r>
        <w:rPr>
          <w:spacing w:val="-11"/>
        </w:rPr>
        <w:t> </w:t>
      </w:r>
      <w:r>
        <w:rPr/>
        <w:t>military</w:t>
      </w:r>
      <w:r>
        <w:rPr>
          <w:spacing w:val="-12"/>
        </w:rPr>
        <w:t> </w:t>
      </w:r>
      <w:r>
        <w:rPr/>
        <w:t>spending/greater</w:t>
      </w:r>
      <w:r>
        <w:rPr>
          <w:spacing w:val="-11"/>
        </w:rPr>
        <w:t> </w:t>
      </w:r>
      <w:r>
        <w:rPr/>
        <w:t>military</w:t>
      </w:r>
      <w:r>
        <w:rPr>
          <w:spacing w:val="-12"/>
        </w:rPr>
        <w:t> </w:t>
      </w:r>
      <w:r>
        <w:rPr/>
        <w:t>capacity</w:t>
      </w:r>
      <w:r>
        <w:rPr>
          <w:spacing w:val="-12"/>
        </w:rPr>
        <w:t> </w:t>
      </w:r>
      <w:r>
        <w:rPr/>
        <w:t>leads</w:t>
      </w:r>
      <w:r>
        <w:rPr>
          <w:spacing w:val="-11"/>
        </w:rPr>
        <w:t> </w:t>
      </w:r>
      <w:r>
        <w:rPr/>
        <w:t>to</w:t>
      </w:r>
      <w:r>
        <w:rPr>
          <w:spacing w:val="-11"/>
        </w:rPr>
        <w:t> </w:t>
      </w:r>
      <w:r>
        <w:rPr/>
        <w:t>military</w:t>
      </w:r>
      <w:r>
        <w:rPr>
          <w:spacing w:val="-12"/>
        </w:rPr>
        <w:t> </w:t>
      </w:r>
      <w:r>
        <w:rPr/>
        <w:t>“crackdowns”</w:t>
      </w:r>
      <w:r>
        <w:rPr>
          <w:spacing w:val="-12"/>
        </w:rPr>
        <w:t> </w:t>
      </w:r>
      <w:r>
        <w:rPr/>
        <w:t>on rebels,</w:t>
      </w:r>
      <w:r>
        <w:rPr>
          <w:spacing w:val="-8"/>
        </w:rPr>
        <w:t> </w:t>
      </w:r>
      <w:r>
        <w:rPr/>
        <w:t>we</w:t>
      </w:r>
      <w:r>
        <w:rPr>
          <w:spacing w:val="-9"/>
        </w:rPr>
        <w:t> </w:t>
      </w:r>
      <w:r>
        <w:rPr/>
        <w:t>may</w:t>
      </w:r>
      <w:r>
        <w:rPr>
          <w:spacing w:val="-9"/>
        </w:rPr>
        <w:t> </w:t>
      </w:r>
      <w:r>
        <w:rPr/>
        <w:t>expect</w:t>
      </w:r>
      <w:r>
        <w:rPr>
          <w:spacing w:val="-9"/>
        </w:rPr>
        <w:t> </w:t>
      </w:r>
      <w:r>
        <w:rPr/>
        <w:t>a</w:t>
      </w:r>
      <w:r>
        <w:rPr>
          <w:spacing w:val="-9"/>
        </w:rPr>
        <w:t> </w:t>
      </w:r>
      <w:r>
        <w:rPr/>
        <w:t>short-term</w:t>
      </w:r>
      <w:r>
        <w:rPr>
          <w:spacing w:val="-9"/>
        </w:rPr>
        <w:t> </w:t>
      </w:r>
      <w:r>
        <w:rPr/>
        <w:t>uptick</w:t>
      </w:r>
      <w:r>
        <w:rPr>
          <w:spacing w:val="-9"/>
        </w:rPr>
        <w:t> </w:t>
      </w:r>
      <w:r>
        <w:rPr/>
        <w:t>in</w:t>
      </w:r>
      <w:r>
        <w:rPr>
          <w:spacing w:val="-9"/>
        </w:rPr>
        <w:t> </w:t>
      </w:r>
      <w:r>
        <w:rPr/>
        <w:t>battle</w:t>
      </w:r>
      <w:r>
        <w:rPr>
          <w:spacing w:val="-9"/>
        </w:rPr>
        <w:t> </w:t>
      </w:r>
      <w:r>
        <w:rPr/>
        <w:t>deaths</w:t>
      </w:r>
      <w:r>
        <w:rPr>
          <w:spacing w:val="-9"/>
        </w:rPr>
        <w:t> </w:t>
      </w:r>
      <w:r>
        <w:rPr/>
        <w:t>as</w:t>
      </w:r>
      <w:r>
        <w:rPr>
          <w:spacing w:val="-9"/>
        </w:rPr>
        <w:t> </w:t>
      </w:r>
      <w:r>
        <w:rPr/>
        <w:t>a</w:t>
      </w:r>
      <w:r>
        <w:rPr>
          <w:spacing w:val="-9"/>
        </w:rPr>
        <w:t> </w:t>
      </w:r>
      <w:r>
        <w:rPr/>
        <w:t>result</w:t>
      </w:r>
      <w:r>
        <w:rPr>
          <w:spacing w:val="-9"/>
        </w:rPr>
        <w:t> </w:t>
      </w:r>
      <w:r>
        <w:rPr/>
        <w:t>of</w:t>
      </w:r>
      <w:r>
        <w:rPr>
          <w:spacing w:val="-9"/>
        </w:rPr>
        <w:t> </w:t>
      </w:r>
      <w:r>
        <w:rPr/>
        <w:t>increased</w:t>
      </w:r>
      <w:r>
        <w:rPr>
          <w:spacing w:val="-9"/>
        </w:rPr>
        <w:t> </w:t>
      </w:r>
      <w:r>
        <w:rPr/>
        <w:t>military</w:t>
      </w:r>
      <w:r>
        <w:rPr>
          <w:spacing w:val="-9"/>
        </w:rPr>
        <w:t> </w:t>
      </w:r>
      <w:r>
        <w:rPr/>
        <w:t>activity.</w:t>
      </w:r>
      <w:r>
        <w:rPr>
          <w:spacing w:val="13"/>
        </w:rPr>
        <w:t> </w:t>
      </w:r>
      <w:r>
        <w:rPr/>
        <w:t>This is examined in greater detail below.</w:t>
      </w:r>
    </w:p>
    <w:p>
      <w:pPr>
        <w:pStyle w:val="BodyText"/>
        <w:spacing w:line="316" w:lineRule="auto" w:before="136"/>
        <w:ind w:left="117" w:right="633" w:firstLine="298"/>
        <w:jc w:val="both"/>
      </w:pPr>
      <w:r>
        <w:rPr/>
        <w:t>For all the models using an interactive term between oil rents and oil price, it is also important to note</w:t>
      </w:r>
      <w:r>
        <w:rPr>
          <w:spacing w:val="-2"/>
        </w:rPr>
        <w:t> </w:t>
      </w:r>
      <w:r>
        <w:rPr/>
        <w:t>a</w:t>
      </w:r>
      <w:r>
        <w:rPr>
          <w:spacing w:val="-2"/>
        </w:rPr>
        <w:t> </w:t>
      </w:r>
      <w:r>
        <w:rPr/>
        <w:t>feature</w:t>
      </w:r>
      <w:r>
        <w:rPr>
          <w:spacing w:val="-2"/>
        </w:rPr>
        <w:t> </w:t>
      </w:r>
      <w:r>
        <w:rPr/>
        <w:t>of</w:t>
      </w:r>
      <w:r>
        <w:rPr>
          <w:spacing w:val="-2"/>
        </w:rPr>
        <w:t> </w:t>
      </w:r>
      <w:r>
        <w:rPr/>
        <w:t>the</w:t>
      </w:r>
      <w:r>
        <w:rPr>
          <w:spacing w:val="-2"/>
        </w:rPr>
        <w:t> </w:t>
      </w:r>
      <w:r>
        <w:rPr/>
        <w:t>interactive</w:t>
      </w:r>
      <w:r>
        <w:rPr>
          <w:spacing w:val="-2"/>
        </w:rPr>
        <w:t> </w:t>
      </w:r>
      <w:r>
        <w:rPr/>
        <w:t>model</w:t>
      </w:r>
      <w:r>
        <w:rPr>
          <w:spacing w:val="-2"/>
        </w:rPr>
        <w:t> </w:t>
      </w:r>
      <w:r>
        <w:rPr/>
        <w:t>which</w:t>
      </w:r>
      <w:r>
        <w:rPr>
          <w:spacing w:val="-2"/>
        </w:rPr>
        <w:t> </w:t>
      </w:r>
      <w:r>
        <w:rPr/>
        <w:t>likely</w:t>
      </w:r>
      <w:r>
        <w:rPr>
          <w:spacing w:val="-2"/>
        </w:rPr>
        <w:t> </w:t>
      </w:r>
      <w:r>
        <w:rPr/>
        <w:t>causes</w:t>
      </w:r>
      <w:r>
        <w:rPr>
          <w:spacing w:val="-2"/>
        </w:rPr>
        <w:t> </w:t>
      </w:r>
      <w:r>
        <w:rPr/>
        <w:t>an</w:t>
      </w:r>
      <w:r>
        <w:rPr>
          <w:spacing w:val="-2"/>
        </w:rPr>
        <w:t> </w:t>
      </w:r>
      <w:r>
        <w:rPr/>
        <w:t>underestimation</w:t>
      </w:r>
      <w:r>
        <w:rPr>
          <w:spacing w:val="-2"/>
        </w:rPr>
        <w:t> </w:t>
      </w:r>
      <w:r>
        <w:rPr/>
        <w:t>of</w:t>
      </w:r>
      <w:r>
        <w:rPr>
          <w:spacing w:val="-2"/>
        </w:rPr>
        <w:t> </w:t>
      </w:r>
      <w:r>
        <w:rPr/>
        <w:t>the</w:t>
      </w:r>
      <w:r>
        <w:rPr>
          <w:spacing w:val="-2"/>
        </w:rPr>
        <w:t> </w:t>
      </w:r>
      <w:r>
        <w:rPr/>
        <w:t>true</w:t>
      </w:r>
      <w:r>
        <w:rPr>
          <w:spacing w:val="-2"/>
        </w:rPr>
        <w:t> </w:t>
      </w:r>
      <w:r>
        <w:rPr/>
        <w:t>effect. As</w:t>
      </w:r>
      <w:r>
        <w:rPr>
          <w:spacing w:val="-2"/>
        </w:rPr>
        <w:t> </w:t>
      </w:r>
      <w:r>
        <w:rPr/>
        <w:t>oil prices decline, the proportion of a states GDP that is normally generated by the sale of oil declines, causing the state to appear as less of an ”oil state”. However, it is in precisely these states that we are trying to observe an effect.</w:t>
      </w:r>
      <w:r>
        <w:rPr>
          <w:spacing w:val="40"/>
        </w:rPr>
        <w:t> </w:t>
      </w:r>
      <w:r>
        <w:rPr/>
        <w:t>This causes an underestimation of the effect that makes the results more </w:t>
      </w:r>
      <w:r>
        <w:rPr>
          <w:spacing w:val="-2"/>
        </w:rPr>
        <w:t>conservative.</w:t>
      </w:r>
    </w:p>
    <w:p>
      <w:pPr>
        <w:pStyle w:val="BodyText"/>
        <w:spacing w:line="316" w:lineRule="auto" w:before="136"/>
        <w:ind w:left="117" w:right="633" w:firstLine="298"/>
        <w:jc w:val="both"/>
      </w:pPr>
      <w:r>
        <w:rPr/>
        <w:t>As</w:t>
      </w:r>
      <w:r>
        <w:rPr>
          <w:spacing w:val="-9"/>
        </w:rPr>
        <w:t> </w:t>
      </w:r>
      <w:r>
        <w:rPr/>
        <w:t>previously</w:t>
      </w:r>
      <w:r>
        <w:rPr>
          <w:spacing w:val="-9"/>
        </w:rPr>
        <w:t> </w:t>
      </w:r>
      <w:r>
        <w:rPr/>
        <w:t>theorized,</w:t>
      </w:r>
      <w:r>
        <w:rPr>
          <w:spacing w:val="-9"/>
        </w:rPr>
        <w:t> </w:t>
      </w:r>
      <w:r>
        <w:rPr/>
        <w:t>the</w:t>
      </w:r>
      <w:r>
        <w:rPr>
          <w:spacing w:val="-9"/>
        </w:rPr>
        <w:t> </w:t>
      </w:r>
      <w:r>
        <w:rPr/>
        <w:t>reason</w:t>
      </w:r>
      <w:r>
        <w:rPr>
          <w:spacing w:val="-9"/>
        </w:rPr>
        <w:t> </w:t>
      </w:r>
      <w:r>
        <w:rPr/>
        <w:t>for</w:t>
      </w:r>
      <w:r>
        <w:rPr>
          <w:spacing w:val="-9"/>
        </w:rPr>
        <w:t> </w:t>
      </w:r>
      <w:r>
        <w:rPr/>
        <w:t>these</w:t>
      </w:r>
      <w:r>
        <w:rPr>
          <w:spacing w:val="-9"/>
        </w:rPr>
        <w:t> </w:t>
      </w:r>
      <w:r>
        <w:rPr/>
        <w:t>observed</w:t>
      </w:r>
      <w:r>
        <w:rPr>
          <w:spacing w:val="-9"/>
        </w:rPr>
        <w:t> </w:t>
      </w:r>
      <w:r>
        <w:rPr/>
        <w:t>effects</w:t>
      </w:r>
      <w:r>
        <w:rPr>
          <w:spacing w:val="-9"/>
        </w:rPr>
        <w:t> </w:t>
      </w:r>
      <w:r>
        <w:rPr/>
        <w:t>is</w:t>
      </w:r>
      <w:r>
        <w:rPr>
          <w:spacing w:val="-9"/>
        </w:rPr>
        <w:t> </w:t>
      </w:r>
      <w:r>
        <w:rPr/>
        <w:t>the</w:t>
      </w:r>
      <w:r>
        <w:rPr>
          <w:spacing w:val="-9"/>
        </w:rPr>
        <w:t> </w:t>
      </w:r>
      <w:r>
        <w:rPr/>
        <w:t>impact</w:t>
      </w:r>
      <w:r>
        <w:rPr>
          <w:spacing w:val="-9"/>
        </w:rPr>
        <w:t> </w:t>
      </w:r>
      <w:r>
        <w:rPr/>
        <w:t>that</w:t>
      </w:r>
      <w:r>
        <w:rPr>
          <w:spacing w:val="-9"/>
        </w:rPr>
        <w:t> </w:t>
      </w:r>
      <w:r>
        <w:rPr/>
        <w:t>declines</w:t>
      </w:r>
      <w:r>
        <w:rPr>
          <w:spacing w:val="-9"/>
        </w:rPr>
        <w:t> </w:t>
      </w:r>
      <w:r>
        <w:rPr/>
        <w:t>in</w:t>
      </w:r>
      <w:r>
        <w:rPr>
          <w:spacing w:val="-9"/>
        </w:rPr>
        <w:t> </w:t>
      </w:r>
      <w:r>
        <w:rPr/>
        <w:t>oil</w:t>
      </w:r>
      <w:r>
        <w:rPr>
          <w:spacing w:val="-9"/>
        </w:rPr>
        <w:t> </w:t>
      </w:r>
      <w:r>
        <w:rPr/>
        <w:t>prices </w:t>
      </w:r>
      <w:r>
        <w:rPr>
          <w:spacing w:val="-2"/>
        </w:rPr>
        <w:t>have</w:t>
      </w:r>
      <w:r>
        <w:rPr>
          <w:spacing w:val="-7"/>
        </w:rPr>
        <w:t> </w:t>
      </w:r>
      <w:r>
        <w:rPr>
          <w:spacing w:val="-2"/>
        </w:rPr>
        <w:t>on</w:t>
      </w:r>
      <w:r>
        <w:rPr>
          <w:spacing w:val="-7"/>
        </w:rPr>
        <w:t> </w:t>
      </w:r>
      <w:r>
        <w:rPr>
          <w:spacing w:val="-2"/>
        </w:rPr>
        <w:t>government</w:t>
      </w:r>
      <w:r>
        <w:rPr>
          <w:spacing w:val="-7"/>
        </w:rPr>
        <w:t> </w:t>
      </w:r>
      <w:r>
        <w:rPr>
          <w:spacing w:val="-2"/>
        </w:rPr>
        <w:t>revenue</w:t>
      </w:r>
      <w:r>
        <w:rPr>
          <w:spacing w:val="-7"/>
        </w:rPr>
        <w:t> </w:t>
      </w:r>
      <w:r>
        <w:rPr>
          <w:spacing w:val="-2"/>
        </w:rPr>
        <w:t>in</w:t>
      </w:r>
      <w:r>
        <w:rPr>
          <w:spacing w:val="-7"/>
        </w:rPr>
        <w:t> </w:t>
      </w:r>
      <w:r>
        <w:rPr>
          <w:spacing w:val="-2"/>
        </w:rPr>
        <w:t>rentier</w:t>
      </w:r>
      <w:r>
        <w:rPr>
          <w:spacing w:val="-7"/>
        </w:rPr>
        <w:t> </w:t>
      </w:r>
      <w:r>
        <w:rPr>
          <w:spacing w:val="-2"/>
        </w:rPr>
        <w:t>states.</w:t>
      </w:r>
      <w:r>
        <w:rPr>
          <w:spacing w:val="14"/>
        </w:rPr>
        <w:t> </w:t>
      </w:r>
      <w:r>
        <w:rPr>
          <w:spacing w:val="-2"/>
        </w:rPr>
        <w:t>When</w:t>
      </w:r>
      <w:r>
        <w:rPr>
          <w:spacing w:val="-7"/>
        </w:rPr>
        <w:t> </w:t>
      </w:r>
      <w:r>
        <w:rPr>
          <w:spacing w:val="-2"/>
        </w:rPr>
        <w:t>oil</w:t>
      </w:r>
      <w:r>
        <w:rPr>
          <w:spacing w:val="-7"/>
        </w:rPr>
        <w:t> </w:t>
      </w:r>
      <w:r>
        <w:rPr>
          <w:spacing w:val="-2"/>
        </w:rPr>
        <w:t>dependent</w:t>
      </w:r>
      <w:r>
        <w:rPr>
          <w:spacing w:val="-7"/>
        </w:rPr>
        <w:t> </w:t>
      </w:r>
      <w:r>
        <w:rPr>
          <w:spacing w:val="-2"/>
        </w:rPr>
        <w:t>states</w:t>
      </w:r>
      <w:r>
        <w:rPr>
          <w:spacing w:val="-7"/>
        </w:rPr>
        <w:t> </w:t>
      </w:r>
      <w:r>
        <w:rPr>
          <w:spacing w:val="-2"/>
        </w:rPr>
        <w:t>face</w:t>
      </w:r>
      <w:r>
        <w:rPr>
          <w:spacing w:val="-7"/>
        </w:rPr>
        <w:t> </w:t>
      </w:r>
      <w:r>
        <w:rPr>
          <w:spacing w:val="-2"/>
        </w:rPr>
        <w:t>large</w:t>
      </w:r>
      <w:r>
        <w:rPr>
          <w:spacing w:val="-7"/>
        </w:rPr>
        <w:t> </w:t>
      </w:r>
      <w:r>
        <w:rPr>
          <w:spacing w:val="-2"/>
        </w:rPr>
        <w:t>declines</w:t>
      </w:r>
      <w:r>
        <w:rPr>
          <w:spacing w:val="-7"/>
        </w:rPr>
        <w:t> </w:t>
      </w:r>
      <w:r>
        <w:rPr>
          <w:spacing w:val="-2"/>
        </w:rPr>
        <w:t>in</w:t>
      </w:r>
      <w:r>
        <w:rPr>
          <w:spacing w:val="-7"/>
        </w:rPr>
        <w:t> </w:t>
      </w:r>
      <w:r>
        <w:rPr>
          <w:spacing w:val="-2"/>
        </w:rPr>
        <w:t>oil</w:t>
      </w:r>
      <w:r>
        <w:rPr>
          <w:spacing w:val="-7"/>
        </w:rPr>
        <w:t> </w:t>
      </w:r>
      <w:r>
        <w:rPr>
          <w:spacing w:val="-2"/>
        </w:rPr>
        <w:t>prices, </w:t>
      </w:r>
      <w:r>
        <w:rPr/>
        <w:t>they have a few limited options to make up the shortfall.</w:t>
      </w:r>
      <w:r>
        <w:rPr>
          <w:spacing w:val="40"/>
        </w:rPr>
        <w:t> </w:t>
      </w:r>
      <w:r>
        <w:rPr/>
        <w:t>Borrowing on capital markets is an option, but</w:t>
      </w:r>
      <w:r>
        <w:rPr>
          <w:spacing w:val="-7"/>
        </w:rPr>
        <w:t> </w:t>
      </w:r>
      <w:r>
        <w:rPr/>
        <w:t>for</w:t>
      </w:r>
      <w:r>
        <w:rPr>
          <w:spacing w:val="-7"/>
        </w:rPr>
        <w:t> </w:t>
      </w:r>
      <w:r>
        <w:rPr/>
        <w:t>most</w:t>
      </w:r>
      <w:r>
        <w:rPr>
          <w:spacing w:val="-7"/>
        </w:rPr>
        <w:t> </w:t>
      </w:r>
      <w:r>
        <w:rPr/>
        <w:t>of</w:t>
      </w:r>
      <w:r>
        <w:rPr>
          <w:spacing w:val="-7"/>
        </w:rPr>
        <w:t> </w:t>
      </w:r>
      <w:r>
        <w:rPr/>
        <w:t>these</w:t>
      </w:r>
      <w:r>
        <w:rPr>
          <w:spacing w:val="-7"/>
        </w:rPr>
        <w:t> </w:t>
      </w:r>
      <w:r>
        <w:rPr/>
        <w:t>states,</w:t>
      </w:r>
      <w:r>
        <w:rPr>
          <w:spacing w:val="-7"/>
        </w:rPr>
        <w:t> </w:t>
      </w:r>
      <w:r>
        <w:rPr/>
        <w:t>creditworthiness</w:t>
      </w:r>
      <w:r>
        <w:rPr>
          <w:spacing w:val="-7"/>
        </w:rPr>
        <w:t> </w:t>
      </w:r>
      <w:r>
        <w:rPr/>
        <w:t>is</w:t>
      </w:r>
      <w:r>
        <w:rPr>
          <w:spacing w:val="-7"/>
        </w:rPr>
        <w:t> </w:t>
      </w:r>
      <w:r>
        <w:rPr/>
        <w:t>inherently</w:t>
      </w:r>
      <w:r>
        <w:rPr>
          <w:spacing w:val="-7"/>
        </w:rPr>
        <w:t> </w:t>
      </w:r>
      <w:r>
        <w:rPr/>
        <w:t>tied</w:t>
      </w:r>
      <w:r>
        <w:rPr>
          <w:spacing w:val="-7"/>
        </w:rPr>
        <w:t> </w:t>
      </w:r>
      <w:r>
        <w:rPr/>
        <w:t>to</w:t>
      </w:r>
      <w:r>
        <w:rPr>
          <w:spacing w:val="-7"/>
        </w:rPr>
        <w:t> </w:t>
      </w:r>
      <w:r>
        <w:rPr/>
        <w:t>the</w:t>
      </w:r>
      <w:r>
        <w:rPr>
          <w:spacing w:val="-7"/>
        </w:rPr>
        <w:t> </w:t>
      </w:r>
      <w:r>
        <w:rPr/>
        <w:t>value</w:t>
      </w:r>
      <w:r>
        <w:rPr>
          <w:spacing w:val="-7"/>
        </w:rPr>
        <w:t> </w:t>
      </w:r>
      <w:r>
        <w:rPr/>
        <w:t>of</w:t>
      </w:r>
      <w:r>
        <w:rPr>
          <w:spacing w:val="-7"/>
        </w:rPr>
        <w:t> </w:t>
      </w:r>
      <w:r>
        <w:rPr/>
        <w:t>oil</w:t>
      </w:r>
      <w:r>
        <w:rPr>
          <w:spacing w:val="-7"/>
        </w:rPr>
        <w:t> </w:t>
      </w:r>
      <w:r>
        <w:rPr/>
        <w:t>exports,</w:t>
      </w:r>
      <w:r>
        <w:rPr>
          <w:spacing w:val="-7"/>
        </w:rPr>
        <w:t> </w:t>
      </w:r>
      <w:r>
        <w:rPr/>
        <w:t>so</w:t>
      </w:r>
      <w:r>
        <w:rPr>
          <w:spacing w:val="-7"/>
        </w:rPr>
        <w:t> </w:t>
      </w:r>
      <w:r>
        <w:rPr/>
        <w:t>this</w:t>
      </w:r>
      <w:r>
        <w:rPr>
          <w:spacing w:val="-7"/>
        </w:rPr>
        <w:t> </w:t>
      </w:r>
      <w:r>
        <w:rPr/>
        <w:t>option becomes</w:t>
      </w:r>
      <w:r>
        <w:rPr>
          <w:spacing w:val="-10"/>
        </w:rPr>
        <w:t> </w:t>
      </w:r>
      <w:r>
        <w:rPr/>
        <w:t>constrained</w:t>
      </w:r>
      <w:r>
        <w:rPr>
          <w:spacing w:val="-10"/>
        </w:rPr>
        <w:t> </w:t>
      </w:r>
      <w:r>
        <w:rPr/>
        <w:t>as</w:t>
      </w:r>
      <w:r>
        <w:rPr>
          <w:spacing w:val="-10"/>
        </w:rPr>
        <w:t> </w:t>
      </w:r>
      <w:r>
        <w:rPr/>
        <w:t>well.</w:t>
      </w:r>
      <w:r>
        <w:rPr>
          <w:spacing w:val="6"/>
        </w:rPr>
        <w:t> </w:t>
      </w:r>
      <w:r>
        <w:rPr/>
        <w:t>Some</w:t>
      </w:r>
      <w:r>
        <w:rPr>
          <w:spacing w:val="-10"/>
        </w:rPr>
        <w:t> </w:t>
      </w:r>
      <w:r>
        <w:rPr/>
        <w:t>states</w:t>
      </w:r>
      <w:r>
        <w:rPr>
          <w:spacing w:val="-10"/>
        </w:rPr>
        <w:t> </w:t>
      </w:r>
      <w:r>
        <w:rPr/>
        <w:t>have</w:t>
      </w:r>
      <w:r>
        <w:rPr>
          <w:spacing w:val="-10"/>
        </w:rPr>
        <w:t> </w:t>
      </w:r>
      <w:r>
        <w:rPr/>
        <w:t>“rainy</w:t>
      </w:r>
      <w:r>
        <w:rPr>
          <w:spacing w:val="-10"/>
        </w:rPr>
        <w:t> </w:t>
      </w:r>
      <w:r>
        <w:rPr/>
        <w:t>day</w:t>
      </w:r>
      <w:r>
        <w:rPr>
          <w:spacing w:val="-10"/>
        </w:rPr>
        <w:t> </w:t>
      </w:r>
      <w:r>
        <w:rPr/>
        <w:t>funds”</w:t>
      </w:r>
      <w:r>
        <w:rPr>
          <w:spacing w:val="-10"/>
        </w:rPr>
        <w:t> </w:t>
      </w:r>
      <w:r>
        <w:rPr/>
        <w:t>in</w:t>
      </w:r>
      <w:r>
        <w:rPr>
          <w:spacing w:val="-10"/>
        </w:rPr>
        <w:t> </w:t>
      </w:r>
      <w:r>
        <w:rPr/>
        <w:t>the</w:t>
      </w:r>
      <w:r>
        <w:rPr>
          <w:spacing w:val="-10"/>
        </w:rPr>
        <w:t> </w:t>
      </w:r>
      <w:r>
        <w:rPr/>
        <w:t>form</w:t>
      </w:r>
      <w:r>
        <w:rPr>
          <w:spacing w:val="-10"/>
        </w:rPr>
        <w:t> </w:t>
      </w:r>
      <w:r>
        <w:rPr/>
        <w:t>of</w:t>
      </w:r>
      <w:r>
        <w:rPr>
          <w:spacing w:val="-10"/>
        </w:rPr>
        <w:t> </w:t>
      </w:r>
      <w:r>
        <w:rPr/>
        <w:t>sovereign</w:t>
      </w:r>
      <w:r>
        <w:rPr>
          <w:spacing w:val="-10"/>
        </w:rPr>
        <w:t> </w:t>
      </w:r>
      <w:r>
        <w:rPr/>
        <w:t>wealth</w:t>
      </w:r>
      <w:r>
        <w:rPr>
          <w:spacing w:val="-10"/>
        </w:rPr>
        <w:t> </w:t>
      </w:r>
      <w:r>
        <w:rPr/>
        <w:t>funds, and others may receive foreign military aid.</w:t>
      </w:r>
      <w:r>
        <w:rPr>
          <w:spacing w:val="40"/>
        </w:rPr>
        <w:t> </w:t>
      </w:r>
      <w:r>
        <w:rPr/>
        <w:t>However, these alternatives are present for only a select number</w:t>
      </w:r>
      <w:r>
        <w:rPr>
          <w:spacing w:val="9"/>
        </w:rPr>
        <w:t> </w:t>
      </w:r>
      <w:r>
        <w:rPr/>
        <w:t>of</w:t>
      </w:r>
      <w:r>
        <w:rPr>
          <w:spacing w:val="8"/>
        </w:rPr>
        <w:t> </w:t>
      </w:r>
      <w:r>
        <w:rPr/>
        <w:t>states.</w:t>
      </w:r>
      <w:r>
        <w:rPr>
          <w:spacing w:val="51"/>
        </w:rPr>
        <w:t> </w:t>
      </w:r>
      <w:r>
        <w:rPr/>
        <w:t>For</w:t>
      </w:r>
      <w:r>
        <w:rPr>
          <w:spacing w:val="9"/>
        </w:rPr>
        <w:t> </w:t>
      </w:r>
      <w:r>
        <w:rPr/>
        <w:t>most</w:t>
      </w:r>
      <w:r>
        <w:rPr>
          <w:spacing w:val="9"/>
        </w:rPr>
        <w:t> </w:t>
      </w:r>
      <w:r>
        <w:rPr/>
        <w:t>states,</w:t>
      </w:r>
      <w:r>
        <w:rPr>
          <w:spacing w:val="12"/>
        </w:rPr>
        <w:t> </w:t>
      </w:r>
      <w:r>
        <w:rPr/>
        <w:t>significant</w:t>
      </w:r>
      <w:r>
        <w:rPr>
          <w:spacing w:val="9"/>
        </w:rPr>
        <w:t> </w:t>
      </w:r>
      <w:r>
        <w:rPr/>
        <w:t>declines</w:t>
      </w:r>
      <w:r>
        <w:rPr>
          <w:spacing w:val="9"/>
        </w:rPr>
        <w:t> </w:t>
      </w:r>
      <w:r>
        <w:rPr/>
        <w:t>in</w:t>
      </w:r>
      <w:r>
        <w:rPr>
          <w:spacing w:val="9"/>
        </w:rPr>
        <w:t> </w:t>
      </w:r>
      <w:r>
        <w:rPr/>
        <w:t>real</w:t>
      </w:r>
      <w:r>
        <w:rPr>
          <w:spacing w:val="10"/>
        </w:rPr>
        <w:t> </w:t>
      </w:r>
      <w:r>
        <w:rPr/>
        <w:t>government</w:t>
      </w:r>
      <w:r>
        <w:rPr>
          <w:spacing w:val="9"/>
        </w:rPr>
        <w:t> </w:t>
      </w:r>
      <w:r>
        <w:rPr/>
        <w:t>revenue</w:t>
      </w:r>
      <w:r>
        <w:rPr>
          <w:spacing w:val="9"/>
        </w:rPr>
        <w:t> </w:t>
      </w:r>
      <w:r>
        <w:rPr/>
        <w:t>means</w:t>
      </w:r>
      <w:r>
        <w:rPr>
          <w:spacing w:val="9"/>
        </w:rPr>
        <w:t> </w:t>
      </w:r>
      <w:r>
        <w:rPr>
          <w:spacing w:val="-2"/>
        </w:rPr>
        <w:t>significant</w:t>
      </w:r>
    </w:p>
    <w:p>
      <w:pPr>
        <w:spacing w:after="0" w:line="316" w:lineRule="auto"/>
        <w:jc w:val="both"/>
        <w:sectPr>
          <w:pgSz w:w="12240" w:h="15840"/>
          <w:pgMar w:header="0" w:footer="1252" w:top="1100" w:bottom="1440" w:left="1300" w:right="1200"/>
        </w:sectPr>
      </w:pPr>
    </w:p>
    <w:p>
      <w:pPr>
        <w:pStyle w:val="BodyText"/>
        <w:spacing w:before="49"/>
        <w:ind w:left="117"/>
      </w:pPr>
      <w:r>
        <w:rPr>
          <w:spacing w:val="-2"/>
        </w:rPr>
        <w:t>declines in actual</w:t>
      </w:r>
      <w:r>
        <w:rPr>
          <w:spacing w:val="-1"/>
        </w:rPr>
        <w:t> </w:t>
      </w:r>
      <w:r>
        <w:rPr>
          <w:spacing w:val="-2"/>
        </w:rPr>
        <w:t>government spending,</w:t>
      </w:r>
      <w:r>
        <w:rPr>
          <w:spacing w:val="-1"/>
        </w:rPr>
        <w:t> </w:t>
      </w:r>
      <w:r>
        <w:rPr>
          <w:spacing w:val="-2"/>
        </w:rPr>
        <w:t>which includes</w:t>
      </w:r>
      <w:r>
        <w:rPr>
          <w:spacing w:val="-1"/>
        </w:rPr>
        <w:t> </w:t>
      </w:r>
      <w:r>
        <w:rPr>
          <w:spacing w:val="-2"/>
        </w:rPr>
        <w:t>the military.</w:t>
      </w:r>
    </w:p>
    <w:p>
      <w:pPr>
        <w:pStyle w:val="BodyText"/>
        <w:spacing w:before="9"/>
        <w:rPr>
          <w:sz w:val="18"/>
        </w:rPr>
      </w:pPr>
    </w:p>
    <w:p>
      <w:pPr>
        <w:pStyle w:val="BodyText"/>
        <w:spacing w:line="316" w:lineRule="auto"/>
        <w:ind w:left="117" w:right="633" w:firstLine="298"/>
        <w:jc w:val="both"/>
      </w:pPr>
      <w:r>
        <w:rPr/>
        <w:t>In</w:t>
      </w:r>
      <w:r>
        <w:rPr>
          <w:spacing w:val="-8"/>
        </w:rPr>
        <w:t> </w:t>
      </w:r>
      <w:r>
        <w:rPr/>
        <w:t>order</w:t>
      </w:r>
      <w:r>
        <w:rPr>
          <w:spacing w:val="-8"/>
        </w:rPr>
        <w:t> </w:t>
      </w:r>
      <w:r>
        <w:rPr/>
        <w:t>to</w:t>
      </w:r>
      <w:r>
        <w:rPr>
          <w:spacing w:val="-8"/>
        </w:rPr>
        <w:t> </w:t>
      </w:r>
      <w:r>
        <w:rPr/>
        <w:t>test</w:t>
      </w:r>
      <w:r>
        <w:rPr>
          <w:spacing w:val="-8"/>
        </w:rPr>
        <w:t> </w:t>
      </w:r>
      <w:r>
        <w:rPr/>
        <w:t>Hypothesis</w:t>
      </w:r>
      <w:r>
        <w:rPr>
          <w:spacing w:val="-8"/>
        </w:rPr>
        <w:t> </w:t>
      </w:r>
      <w:r>
        <w:rPr/>
        <w:t>2,</w:t>
      </w:r>
      <w:r>
        <w:rPr>
          <w:spacing w:val="-7"/>
        </w:rPr>
        <w:t> </w:t>
      </w:r>
      <w:r>
        <w:rPr/>
        <w:t>we</w:t>
      </w:r>
      <w:r>
        <w:rPr>
          <w:spacing w:val="-8"/>
        </w:rPr>
        <w:t> </w:t>
      </w:r>
      <w:r>
        <w:rPr/>
        <w:t>specify</w:t>
      </w:r>
      <w:r>
        <w:rPr>
          <w:spacing w:val="-8"/>
        </w:rPr>
        <w:t> </w:t>
      </w:r>
      <w:r>
        <w:rPr/>
        <w:t>four</w:t>
      </w:r>
      <w:r>
        <w:rPr>
          <w:spacing w:val="-8"/>
        </w:rPr>
        <w:t> </w:t>
      </w:r>
      <w:r>
        <w:rPr/>
        <w:t>models.</w:t>
      </w:r>
      <w:r>
        <w:rPr>
          <w:spacing w:val="10"/>
        </w:rPr>
        <w:t> </w:t>
      </w:r>
      <w:r>
        <w:rPr/>
        <w:t>The</w:t>
      </w:r>
      <w:r>
        <w:rPr>
          <w:spacing w:val="-8"/>
        </w:rPr>
        <w:t> </w:t>
      </w:r>
      <w:r>
        <w:rPr/>
        <w:t>first</w:t>
      </w:r>
      <w:r>
        <w:rPr>
          <w:spacing w:val="-8"/>
        </w:rPr>
        <w:t> </w:t>
      </w:r>
      <w:r>
        <w:rPr/>
        <w:t>two</w:t>
      </w:r>
      <w:r>
        <w:rPr>
          <w:spacing w:val="-8"/>
        </w:rPr>
        <w:t> </w:t>
      </w:r>
      <w:r>
        <w:rPr/>
        <w:t>models</w:t>
      </w:r>
      <w:r>
        <w:rPr>
          <w:spacing w:val="-8"/>
        </w:rPr>
        <w:t> </w:t>
      </w:r>
      <w:r>
        <w:rPr/>
        <w:t>estimate</w:t>
      </w:r>
      <w:r>
        <w:rPr>
          <w:spacing w:val="-8"/>
        </w:rPr>
        <w:t> </w:t>
      </w:r>
      <w:r>
        <w:rPr/>
        <w:t>the</w:t>
      </w:r>
      <w:r>
        <w:rPr>
          <w:spacing w:val="-8"/>
        </w:rPr>
        <w:t> </w:t>
      </w:r>
      <w:r>
        <w:rPr/>
        <w:t>effect</w:t>
      </w:r>
      <w:r>
        <w:rPr>
          <w:spacing w:val="-8"/>
        </w:rPr>
        <w:t> </w:t>
      </w:r>
      <w:r>
        <w:rPr/>
        <w:t>of</w:t>
      </w:r>
      <w:r>
        <w:rPr>
          <w:spacing w:val="-8"/>
        </w:rPr>
        <w:t> </w:t>
      </w:r>
      <w:r>
        <w:rPr/>
        <w:t>the measures of oil price in the current and prior period on military expenditures in oil reliant states only (using</w:t>
      </w:r>
      <w:r>
        <w:rPr>
          <w:spacing w:val="-1"/>
        </w:rPr>
        <w:t> </w:t>
      </w:r>
      <w:r>
        <w:rPr/>
        <w:t>the</w:t>
      </w:r>
      <w:r>
        <w:rPr>
          <w:spacing w:val="-1"/>
        </w:rPr>
        <w:t> </w:t>
      </w:r>
      <w:r>
        <w:rPr/>
        <w:t>same</w:t>
      </w:r>
      <w:r>
        <w:rPr>
          <w:spacing w:val="-1"/>
        </w:rPr>
        <w:t> </w:t>
      </w:r>
      <w:r>
        <w:rPr/>
        <w:t>set</w:t>
      </w:r>
      <w:r>
        <w:rPr>
          <w:spacing w:val="-1"/>
        </w:rPr>
        <w:t> </w:t>
      </w:r>
      <w:r>
        <w:rPr/>
        <w:t>of</w:t>
      </w:r>
      <w:r>
        <w:rPr>
          <w:spacing w:val="-1"/>
        </w:rPr>
        <w:t> </w:t>
      </w:r>
      <w:r>
        <w:rPr/>
        <w:t>cases</w:t>
      </w:r>
      <w:r>
        <w:rPr>
          <w:spacing w:val="-1"/>
        </w:rPr>
        <w:t> </w:t>
      </w:r>
      <w:r>
        <w:rPr/>
        <w:t>used</w:t>
      </w:r>
      <w:r>
        <w:rPr>
          <w:spacing w:val="-1"/>
        </w:rPr>
        <w:t> </w:t>
      </w:r>
      <w:r>
        <w:rPr/>
        <w:t>for</w:t>
      </w:r>
      <w:r>
        <w:rPr>
          <w:spacing w:val="-1"/>
        </w:rPr>
        <w:t> </w:t>
      </w:r>
      <w:r>
        <w:rPr/>
        <w:t>the</w:t>
      </w:r>
      <w:r>
        <w:rPr>
          <w:spacing w:val="-1"/>
        </w:rPr>
        <w:t> </w:t>
      </w:r>
      <w:r>
        <w:rPr/>
        <w:t>models</w:t>
      </w:r>
      <w:r>
        <w:rPr>
          <w:spacing w:val="-1"/>
        </w:rPr>
        <w:t> </w:t>
      </w:r>
      <w:r>
        <w:rPr/>
        <w:t>in</w:t>
      </w:r>
      <w:r>
        <w:rPr>
          <w:spacing w:val="-1"/>
        </w:rPr>
        <w:t> </w:t>
      </w:r>
      <w:r>
        <w:rPr/>
        <w:t>Table</w:t>
      </w:r>
      <w:r>
        <w:rPr>
          <w:spacing w:val="-1"/>
        </w:rPr>
        <w:t> </w:t>
      </w:r>
      <w:r>
        <w:rPr/>
        <w:t>1). The</w:t>
      </w:r>
      <w:r>
        <w:rPr>
          <w:spacing w:val="-1"/>
        </w:rPr>
        <w:t> </w:t>
      </w:r>
      <w:r>
        <w:rPr/>
        <w:t>second</w:t>
      </w:r>
      <w:r>
        <w:rPr>
          <w:spacing w:val="-1"/>
        </w:rPr>
        <w:t> </w:t>
      </w:r>
      <w:r>
        <w:rPr/>
        <w:t>two</w:t>
      </w:r>
      <w:r>
        <w:rPr>
          <w:spacing w:val="-1"/>
        </w:rPr>
        <w:t> </w:t>
      </w:r>
      <w:r>
        <w:rPr/>
        <w:t>models</w:t>
      </w:r>
      <w:r>
        <w:rPr>
          <w:spacing w:val="-1"/>
        </w:rPr>
        <w:t> </w:t>
      </w:r>
      <w:r>
        <w:rPr/>
        <w:t>use</w:t>
      </w:r>
      <w:r>
        <w:rPr>
          <w:spacing w:val="-1"/>
        </w:rPr>
        <w:t> </w:t>
      </w:r>
      <w:r>
        <w:rPr/>
        <w:t>all</w:t>
      </w:r>
      <w:r>
        <w:rPr>
          <w:spacing w:val="-1"/>
        </w:rPr>
        <w:t> </w:t>
      </w:r>
      <w:r>
        <w:rPr/>
        <w:t>states, and employ</w:t>
      </w:r>
      <w:r>
        <w:rPr>
          <w:spacing w:val="-9"/>
        </w:rPr>
        <w:t> </w:t>
      </w:r>
      <w:r>
        <w:rPr/>
        <w:t>the</w:t>
      </w:r>
      <w:r>
        <w:rPr>
          <w:spacing w:val="-9"/>
        </w:rPr>
        <w:t> </w:t>
      </w:r>
      <w:r>
        <w:rPr/>
        <w:t>interactive</w:t>
      </w:r>
      <w:r>
        <w:rPr>
          <w:spacing w:val="-9"/>
        </w:rPr>
        <w:t> </w:t>
      </w:r>
      <w:r>
        <w:rPr/>
        <w:t>effect</w:t>
      </w:r>
      <w:r>
        <w:rPr>
          <w:spacing w:val="-9"/>
        </w:rPr>
        <w:t> </w:t>
      </w:r>
      <w:r>
        <w:rPr/>
        <w:t>between</w:t>
      </w:r>
      <w:r>
        <w:rPr>
          <w:spacing w:val="-9"/>
        </w:rPr>
        <w:t> </w:t>
      </w:r>
      <w:r>
        <w:rPr/>
        <w:t>oil</w:t>
      </w:r>
      <w:r>
        <w:rPr>
          <w:spacing w:val="-10"/>
        </w:rPr>
        <w:t> </w:t>
      </w:r>
      <w:r>
        <w:rPr/>
        <w:t>rents</w:t>
      </w:r>
      <w:r>
        <w:rPr>
          <w:spacing w:val="-9"/>
        </w:rPr>
        <w:t> </w:t>
      </w:r>
      <w:r>
        <w:rPr/>
        <w:t>and</w:t>
      </w:r>
      <w:r>
        <w:rPr>
          <w:spacing w:val="-10"/>
        </w:rPr>
        <w:t> </w:t>
      </w:r>
      <w:r>
        <w:rPr/>
        <w:t>oil</w:t>
      </w:r>
      <w:r>
        <w:rPr>
          <w:spacing w:val="-10"/>
        </w:rPr>
        <w:t> </w:t>
      </w:r>
      <w:r>
        <w:rPr/>
        <w:t>prices</w:t>
      </w:r>
      <w:r>
        <w:rPr>
          <w:spacing w:val="-9"/>
        </w:rPr>
        <w:t> </w:t>
      </w:r>
      <w:r>
        <w:rPr/>
        <w:t>(similar</w:t>
      </w:r>
      <w:r>
        <w:rPr>
          <w:spacing w:val="-9"/>
        </w:rPr>
        <w:t> </w:t>
      </w:r>
      <w:r>
        <w:rPr/>
        <w:t>to</w:t>
      </w:r>
      <w:r>
        <w:rPr>
          <w:spacing w:val="-9"/>
        </w:rPr>
        <w:t> </w:t>
      </w:r>
      <w:r>
        <w:rPr/>
        <w:t>the</w:t>
      </w:r>
      <w:r>
        <w:rPr>
          <w:spacing w:val="-9"/>
        </w:rPr>
        <w:t> </w:t>
      </w:r>
      <w:r>
        <w:rPr/>
        <w:t>method</w:t>
      </w:r>
      <w:r>
        <w:rPr>
          <w:spacing w:val="-9"/>
        </w:rPr>
        <w:t> </w:t>
      </w:r>
      <w:r>
        <w:rPr/>
        <w:t>used</w:t>
      </w:r>
      <w:r>
        <w:rPr>
          <w:spacing w:val="-9"/>
        </w:rPr>
        <w:t> </w:t>
      </w:r>
      <w:r>
        <w:rPr/>
        <w:t>for</w:t>
      </w:r>
      <w:r>
        <w:rPr>
          <w:spacing w:val="-9"/>
        </w:rPr>
        <w:t> </w:t>
      </w:r>
      <w:r>
        <w:rPr/>
        <w:t>the</w:t>
      </w:r>
      <w:r>
        <w:rPr>
          <w:spacing w:val="-9"/>
        </w:rPr>
        <w:t> </w:t>
      </w:r>
      <w:r>
        <w:rPr/>
        <w:t>models in Table 2). Once again, the models are OLS linear regressions with fixed effects included. The formal model specifications can be viewed in the appendix.</w:t>
      </w:r>
    </w:p>
    <w:p>
      <w:pPr>
        <w:pStyle w:val="BodyText"/>
        <w:spacing w:line="316" w:lineRule="auto" w:before="135"/>
        <w:ind w:left="117" w:right="634" w:firstLine="298"/>
        <w:jc w:val="both"/>
      </w:pPr>
      <w:r>
        <w:rPr/>
        <w:t>Table 2 demonstrates the effect of oil price shocks on gross military expenditures in constant 2017 USD. For the linear models using oil reliant states only (the first two models), a USD 100 increase in the price of oil in the prior period was associated with an increase in military expenditures of USD 36 </w:t>
      </w:r>
      <w:r>
        <w:rPr>
          <w:spacing w:val="-2"/>
        </w:rPr>
        <w:t>million.</w:t>
      </w:r>
    </w:p>
    <w:p>
      <w:pPr>
        <w:pStyle w:val="BodyText"/>
        <w:spacing w:line="316" w:lineRule="auto" w:before="138"/>
        <w:ind w:left="117" w:right="633" w:firstLine="298"/>
        <w:jc w:val="both"/>
      </w:pPr>
      <w:r>
        <w:rPr/>
        <w:t>In</w:t>
      </w:r>
      <w:r>
        <w:rPr>
          <w:spacing w:val="-1"/>
        </w:rPr>
        <w:t> </w:t>
      </w:r>
      <w:r>
        <w:rPr/>
        <w:t>the</w:t>
      </w:r>
      <w:r>
        <w:rPr>
          <w:spacing w:val="-1"/>
        </w:rPr>
        <w:t> </w:t>
      </w:r>
      <w:r>
        <w:rPr/>
        <w:t>first</w:t>
      </w:r>
      <w:r>
        <w:rPr>
          <w:spacing w:val="-1"/>
        </w:rPr>
        <w:t> </w:t>
      </w:r>
      <w:r>
        <w:rPr/>
        <w:t>interactive</w:t>
      </w:r>
      <w:r>
        <w:rPr>
          <w:spacing w:val="-1"/>
        </w:rPr>
        <w:t> </w:t>
      </w:r>
      <w:r>
        <w:rPr/>
        <w:t>model</w:t>
      </w:r>
      <w:r>
        <w:rPr>
          <w:spacing w:val="-1"/>
        </w:rPr>
        <w:t> </w:t>
      </w:r>
      <w:r>
        <w:rPr/>
        <w:t>(the</w:t>
      </w:r>
      <w:r>
        <w:rPr>
          <w:spacing w:val="-1"/>
        </w:rPr>
        <w:t> </w:t>
      </w:r>
      <w:r>
        <w:rPr/>
        <w:t>third</w:t>
      </w:r>
      <w:r>
        <w:rPr>
          <w:spacing w:val="-1"/>
        </w:rPr>
        <w:t> </w:t>
      </w:r>
      <w:r>
        <w:rPr/>
        <w:t>model),</w:t>
      </w:r>
      <w:r>
        <w:rPr>
          <w:spacing w:val="-1"/>
        </w:rPr>
        <w:t> </w:t>
      </w:r>
      <w:r>
        <w:rPr/>
        <w:t>the</w:t>
      </w:r>
      <w:r>
        <w:rPr>
          <w:spacing w:val="-1"/>
        </w:rPr>
        <w:t> </w:t>
      </w:r>
      <w:r>
        <w:rPr/>
        <w:t>marginal</w:t>
      </w:r>
      <w:r>
        <w:rPr>
          <w:spacing w:val="-1"/>
        </w:rPr>
        <w:t> </w:t>
      </w:r>
      <w:r>
        <w:rPr/>
        <w:t>effect</w:t>
      </w:r>
      <w:r>
        <w:rPr>
          <w:spacing w:val="-1"/>
        </w:rPr>
        <w:t> </w:t>
      </w:r>
      <w:r>
        <w:rPr/>
        <w:t>of</w:t>
      </w:r>
      <w:r>
        <w:rPr>
          <w:spacing w:val="-1"/>
        </w:rPr>
        <w:t> </w:t>
      </w:r>
      <w:r>
        <w:rPr/>
        <w:t>an</w:t>
      </w:r>
      <w:r>
        <w:rPr>
          <w:spacing w:val="-1"/>
        </w:rPr>
        <w:t> </w:t>
      </w:r>
      <w:r>
        <w:rPr/>
        <w:t>increase</w:t>
      </w:r>
      <w:r>
        <w:rPr>
          <w:spacing w:val="-1"/>
        </w:rPr>
        <w:t> </w:t>
      </w:r>
      <w:r>
        <w:rPr/>
        <w:t>in</w:t>
      </w:r>
      <w:r>
        <w:rPr>
          <w:spacing w:val="-1"/>
        </w:rPr>
        <w:t> </w:t>
      </w:r>
      <w:r>
        <w:rPr/>
        <w:t>the</w:t>
      </w:r>
      <w:r>
        <w:rPr>
          <w:spacing w:val="-1"/>
        </w:rPr>
        <w:t> </w:t>
      </w:r>
      <w:r>
        <w:rPr/>
        <w:t>price</w:t>
      </w:r>
      <w:r>
        <w:rPr>
          <w:spacing w:val="-1"/>
        </w:rPr>
        <w:t> </w:t>
      </w:r>
      <w:r>
        <w:rPr/>
        <w:t>of</w:t>
      </w:r>
      <w:r>
        <w:rPr>
          <w:spacing w:val="-1"/>
        </w:rPr>
        <w:t> </w:t>
      </w:r>
      <w:r>
        <w:rPr/>
        <w:t>oil during the current year, when multiplied by an increase in oil rents, is associated with a more positive marginal effect on military expenditures by the magnitude of roughly USD 14 million.</w:t>
      </w:r>
      <w:r>
        <w:rPr>
          <w:spacing w:val="40"/>
        </w:rPr>
        <w:t> </w:t>
      </w:r>
      <w:r>
        <w:rPr/>
        <w:t>For the price</w:t>
      </w:r>
      <w:r>
        <w:rPr>
          <w:spacing w:val="80"/>
        </w:rPr>
        <w:t> </w:t>
      </w:r>
      <w:r>
        <w:rPr/>
        <w:t>of oil during the prior year, this figure was a USD 5 million increase in the marginal effect on military expenditures.</w:t>
      </w:r>
      <w:r>
        <w:rPr>
          <w:spacing w:val="9"/>
        </w:rPr>
        <w:t> </w:t>
      </w:r>
      <w:r>
        <w:rPr/>
        <w:t>For</w:t>
      </w:r>
      <w:r>
        <w:rPr>
          <w:spacing w:val="-11"/>
        </w:rPr>
        <w:t> </w:t>
      </w:r>
      <w:r>
        <w:rPr/>
        <w:t>context,</w:t>
      </w:r>
      <w:r>
        <w:rPr>
          <w:spacing w:val="-10"/>
        </w:rPr>
        <w:t> </w:t>
      </w:r>
      <w:r>
        <w:rPr/>
        <w:t>the</w:t>
      </w:r>
      <w:r>
        <w:rPr>
          <w:spacing w:val="-11"/>
        </w:rPr>
        <w:t> </w:t>
      </w:r>
      <w:r>
        <w:rPr/>
        <w:t>standard</w:t>
      </w:r>
      <w:r>
        <w:rPr>
          <w:spacing w:val="-11"/>
        </w:rPr>
        <w:t> </w:t>
      </w:r>
      <w:r>
        <w:rPr/>
        <w:t>deviation</w:t>
      </w:r>
      <w:r>
        <w:rPr>
          <w:spacing w:val="-11"/>
        </w:rPr>
        <w:t> </w:t>
      </w:r>
      <w:r>
        <w:rPr/>
        <w:t>for</w:t>
      </w:r>
      <w:r>
        <w:rPr>
          <w:spacing w:val="-11"/>
        </w:rPr>
        <w:t> </w:t>
      </w:r>
      <w:r>
        <w:rPr/>
        <w:t>military</w:t>
      </w:r>
      <w:r>
        <w:rPr>
          <w:spacing w:val="-11"/>
        </w:rPr>
        <w:t> </w:t>
      </w:r>
      <w:r>
        <w:rPr/>
        <w:t>expenditure</w:t>
      </w:r>
      <w:r>
        <w:rPr>
          <w:spacing w:val="-11"/>
        </w:rPr>
        <w:t> </w:t>
      </w:r>
      <w:r>
        <w:rPr/>
        <w:t>in</w:t>
      </w:r>
      <w:r>
        <w:rPr>
          <w:spacing w:val="-11"/>
        </w:rPr>
        <w:t> </w:t>
      </w:r>
      <w:r>
        <w:rPr/>
        <w:t>the</w:t>
      </w:r>
      <w:r>
        <w:rPr>
          <w:spacing w:val="-11"/>
        </w:rPr>
        <w:t> </w:t>
      </w:r>
      <w:r>
        <w:rPr/>
        <w:t>data</w:t>
      </w:r>
      <w:r>
        <w:rPr>
          <w:spacing w:val="-11"/>
        </w:rPr>
        <w:t> </w:t>
      </w:r>
      <w:r>
        <w:rPr/>
        <w:t>was</w:t>
      </w:r>
      <w:r>
        <w:rPr>
          <w:spacing w:val="-11"/>
        </w:rPr>
        <w:t> </w:t>
      </w:r>
      <w:r>
        <w:rPr/>
        <w:t>roughly</w:t>
      </w:r>
      <w:r>
        <w:rPr>
          <w:spacing w:val="-11"/>
        </w:rPr>
        <w:t> </w:t>
      </w:r>
      <w:r>
        <w:rPr/>
        <w:t>USD 12 billion.</w:t>
      </w:r>
      <w:r>
        <w:rPr>
          <w:spacing w:val="40"/>
        </w:rPr>
        <w:t> </w:t>
      </w:r>
      <w:r>
        <w:rPr/>
        <w:t>Using the figure in model 3, an increase in oil rents by five percent is associated with an increase</w:t>
      </w:r>
      <w:r>
        <w:rPr>
          <w:spacing w:val="-3"/>
        </w:rPr>
        <w:t> </w:t>
      </w:r>
      <w:r>
        <w:rPr/>
        <w:t>in</w:t>
      </w:r>
      <w:r>
        <w:rPr>
          <w:spacing w:val="-3"/>
        </w:rPr>
        <w:t> </w:t>
      </w:r>
      <w:r>
        <w:rPr/>
        <w:t>the</w:t>
      </w:r>
      <w:r>
        <w:rPr>
          <w:spacing w:val="-3"/>
        </w:rPr>
        <w:t> </w:t>
      </w:r>
      <w:r>
        <w:rPr/>
        <w:t>positive</w:t>
      </w:r>
      <w:r>
        <w:rPr>
          <w:spacing w:val="-3"/>
        </w:rPr>
        <w:t> </w:t>
      </w:r>
      <w:r>
        <w:rPr/>
        <w:t>marginal</w:t>
      </w:r>
      <w:r>
        <w:rPr>
          <w:spacing w:val="-3"/>
        </w:rPr>
        <w:t> </w:t>
      </w:r>
      <w:r>
        <w:rPr/>
        <w:t>effect</w:t>
      </w:r>
      <w:r>
        <w:rPr>
          <w:spacing w:val="-3"/>
        </w:rPr>
        <w:t> </w:t>
      </w:r>
      <w:r>
        <w:rPr/>
        <w:t>of</w:t>
      </w:r>
      <w:r>
        <w:rPr>
          <w:spacing w:val="-3"/>
        </w:rPr>
        <w:t> </w:t>
      </w:r>
      <w:r>
        <w:rPr/>
        <w:t>oil</w:t>
      </w:r>
      <w:r>
        <w:rPr>
          <w:spacing w:val="-3"/>
        </w:rPr>
        <w:t> </w:t>
      </w:r>
      <w:r>
        <w:rPr/>
        <w:t>prices</w:t>
      </w:r>
      <w:r>
        <w:rPr>
          <w:spacing w:val="-3"/>
        </w:rPr>
        <w:t> </w:t>
      </w:r>
      <w:r>
        <w:rPr/>
        <w:t>by</w:t>
      </w:r>
      <w:r>
        <w:rPr>
          <w:spacing w:val="-3"/>
        </w:rPr>
        <w:t> </w:t>
      </w:r>
      <w:r>
        <w:rPr/>
        <w:t>USD</w:t>
      </w:r>
      <w:r>
        <w:rPr>
          <w:spacing w:val="-3"/>
        </w:rPr>
        <w:t> </w:t>
      </w:r>
      <w:r>
        <w:rPr/>
        <w:t>700</w:t>
      </w:r>
      <w:r>
        <w:rPr>
          <w:spacing w:val="-3"/>
        </w:rPr>
        <w:t> </w:t>
      </w:r>
      <w:r>
        <w:rPr/>
        <w:t>million</w:t>
      </w:r>
      <w:r>
        <w:rPr>
          <w:spacing w:val="-3"/>
        </w:rPr>
        <w:t> </w:t>
      </w:r>
      <w:r>
        <w:rPr/>
        <w:t>dollars,</w:t>
      </w:r>
      <w:r>
        <w:rPr>
          <w:spacing w:val="-3"/>
        </w:rPr>
        <w:t> </w:t>
      </w:r>
      <w:r>
        <w:rPr/>
        <w:t>and</w:t>
      </w:r>
      <w:r>
        <w:rPr>
          <w:spacing w:val="-3"/>
        </w:rPr>
        <w:t> </w:t>
      </w:r>
      <w:r>
        <w:rPr/>
        <w:t>a</w:t>
      </w:r>
      <w:r>
        <w:rPr>
          <w:spacing w:val="-3"/>
        </w:rPr>
        <w:t> </w:t>
      </w:r>
      <w:r>
        <w:rPr/>
        <w:t>USD</w:t>
      </w:r>
      <w:r>
        <w:rPr>
          <w:spacing w:val="-3"/>
        </w:rPr>
        <w:t> </w:t>
      </w:r>
      <w:r>
        <w:rPr/>
        <w:t>10</w:t>
      </w:r>
      <w:r>
        <w:rPr>
          <w:spacing w:val="-3"/>
        </w:rPr>
        <w:t> </w:t>
      </w:r>
      <w:r>
        <w:rPr/>
        <w:t>increase in the price of oil at this level would entail a USD 7 billion dollar increase in spending.</w:t>
      </w:r>
    </w:p>
    <w:p>
      <w:pPr>
        <w:pStyle w:val="BodyText"/>
        <w:spacing w:line="316" w:lineRule="auto" w:before="133"/>
        <w:ind w:left="117" w:right="632" w:firstLine="298"/>
        <w:jc w:val="both"/>
      </w:pPr>
      <w:r>
        <w:rPr/>
        <w:t>States that use the revenue from oil sales to fund government expenditures often have alternative </w:t>
      </w:r>
      <w:r>
        <w:rPr>
          <w:spacing w:val="-2"/>
        </w:rPr>
        <w:t>sources</w:t>
      </w:r>
      <w:r>
        <w:rPr>
          <w:spacing w:val="-11"/>
        </w:rPr>
        <w:t> </w:t>
      </w:r>
      <w:r>
        <w:rPr>
          <w:spacing w:val="-2"/>
        </w:rPr>
        <w:t>of</w:t>
      </w:r>
      <w:r>
        <w:rPr>
          <w:spacing w:val="-10"/>
        </w:rPr>
        <w:t> </w:t>
      </w:r>
      <w:r>
        <w:rPr>
          <w:spacing w:val="-2"/>
        </w:rPr>
        <w:t>funding</w:t>
      </w:r>
      <w:r>
        <w:rPr>
          <w:spacing w:val="-10"/>
        </w:rPr>
        <w:t> </w:t>
      </w:r>
      <w:r>
        <w:rPr>
          <w:spacing w:val="-2"/>
        </w:rPr>
        <w:t>such</w:t>
      </w:r>
      <w:r>
        <w:rPr>
          <w:spacing w:val="-10"/>
        </w:rPr>
        <w:t> </w:t>
      </w:r>
      <w:r>
        <w:rPr>
          <w:spacing w:val="-2"/>
        </w:rPr>
        <w:t>as</w:t>
      </w:r>
      <w:r>
        <w:rPr>
          <w:spacing w:val="-10"/>
        </w:rPr>
        <w:t> </w:t>
      </w:r>
      <w:r>
        <w:rPr>
          <w:spacing w:val="-2"/>
        </w:rPr>
        <w:t>sovereign</w:t>
      </w:r>
      <w:r>
        <w:rPr>
          <w:spacing w:val="-10"/>
        </w:rPr>
        <w:t> </w:t>
      </w:r>
      <w:r>
        <w:rPr>
          <w:spacing w:val="-2"/>
        </w:rPr>
        <w:t>wealth</w:t>
      </w:r>
      <w:r>
        <w:rPr>
          <w:spacing w:val="-10"/>
        </w:rPr>
        <w:t> </w:t>
      </w:r>
      <w:r>
        <w:rPr>
          <w:spacing w:val="-2"/>
        </w:rPr>
        <w:t>funds</w:t>
      </w:r>
      <w:r>
        <w:rPr>
          <w:spacing w:val="-10"/>
        </w:rPr>
        <w:t> </w:t>
      </w:r>
      <w:r>
        <w:rPr>
          <w:spacing w:val="-2"/>
        </w:rPr>
        <w:t>or</w:t>
      </w:r>
      <w:r>
        <w:rPr>
          <w:spacing w:val="-10"/>
        </w:rPr>
        <w:t> </w:t>
      </w:r>
      <w:r>
        <w:rPr>
          <w:spacing w:val="-2"/>
        </w:rPr>
        <w:t>access</w:t>
      </w:r>
      <w:r>
        <w:rPr>
          <w:spacing w:val="-10"/>
        </w:rPr>
        <w:t> </w:t>
      </w:r>
      <w:r>
        <w:rPr>
          <w:spacing w:val="-2"/>
        </w:rPr>
        <w:t>to</w:t>
      </w:r>
      <w:r>
        <w:rPr>
          <w:spacing w:val="-10"/>
        </w:rPr>
        <w:t> </w:t>
      </w:r>
      <w:r>
        <w:rPr>
          <w:spacing w:val="-2"/>
        </w:rPr>
        <w:t>international</w:t>
      </w:r>
      <w:r>
        <w:rPr>
          <w:spacing w:val="-10"/>
        </w:rPr>
        <w:t> </w:t>
      </w:r>
      <w:r>
        <w:rPr>
          <w:spacing w:val="-2"/>
        </w:rPr>
        <w:t>credit</w:t>
      </w:r>
      <w:r>
        <w:rPr>
          <w:spacing w:val="-10"/>
        </w:rPr>
        <w:t> </w:t>
      </w:r>
      <w:r>
        <w:rPr>
          <w:spacing w:val="-2"/>
        </w:rPr>
        <w:t>markets.</w:t>
      </w:r>
      <w:r>
        <w:rPr>
          <w:spacing w:val="3"/>
        </w:rPr>
        <w:t> </w:t>
      </w:r>
      <w:r>
        <w:rPr>
          <w:spacing w:val="-2"/>
        </w:rPr>
        <w:t>Thus,</w:t>
      </w:r>
      <w:r>
        <w:rPr>
          <w:spacing w:val="-9"/>
        </w:rPr>
        <w:t> </w:t>
      </w:r>
      <w:r>
        <w:rPr>
          <w:spacing w:val="-2"/>
        </w:rPr>
        <w:t>control </w:t>
      </w:r>
      <w:r>
        <w:rPr/>
        <w:t>variables for these features were added to the models here and in the appendix.</w:t>
      </w:r>
      <w:r>
        <w:rPr>
          <w:spacing w:val="22"/>
        </w:rPr>
        <w:t> </w:t>
      </w:r>
      <w:r>
        <w:rPr/>
        <w:t>The appendix models </w:t>
      </w:r>
      <w:r>
        <w:rPr>
          <w:spacing w:val="-2"/>
        </w:rPr>
        <w:t>also</w:t>
      </w:r>
      <w:r>
        <w:rPr>
          <w:spacing w:val="-11"/>
        </w:rPr>
        <w:t> </w:t>
      </w:r>
      <w:r>
        <w:rPr>
          <w:spacing w:val="-2"/>
        </w:rPr>
        <w:t>provide</w:t>
      </w:r>
      <w:r>
        <w:rPr>
          <w:spacing w:val="-10"/>
        </w:rPr>
        <w:t> </w:t>
      </w:r>
      <w:r>
        <w:rPr>
          <w:spacing w:val="-2"/>
        </w:rPr>
        <w:t>alternative</w:t>
      </w:r>
      <w:r>
        <w:rPr>
          <w:spacing w:val="-9"/>
        </w:rPr>
        <w:t> </w:t>
      </w:r>
      <w:r>
        <w:rPr>
          <w:spacing w:val="-2"/>
        </w:rPr>
        <w:t>specifications</w:t>
      </w:r>
      <w:r>
        <w:rPr>
          <w:spacing w:val="-10"/>
        </w:rPr>
        <w:t> </w:t>
      </w:r>
      <w:r>
        <w:rPr>
          <w:spacing w:val="-2"/>
        </w:rPr>
        <w:t>using</w:t>
      </w:r>
      <w:r>
        <w:rPr>
          <w:spacing w:val="-10"/>
        </w:rPr>
        <w:t> </w:t>
      </w:r>
      <w:r>
        <w:rPr>
          <w:spacing w:val="-2"/>
        </w:rPr>
        <w:t>a</w:t>
      </w:r>
      <w:r>
        <w:rPr>
          <w:spacing w:val="-10"/>
        </w:rPr>
        <w:t> </w:t>
      </w:r>
      <w:r>
        <w:rPr>
          <w:spacing w:val="-2"/>
        </w:rPr>
        <w:t>logged</w:t>
      </w:r>
      <w:r>
        <w:rPr>
          <w:spacing w:val="-10"/>
        </w:rPr>
        <w:t> </w:t>
      </w:r>
      <w:r>
        <w:rPr>
          <w:spacing w:val="-2"/>
        </w:rPr>
        <w:t>dependent</w:t>
      </w:r>
      <w:r>
        <w:rPr>
          <w:spacing w:val="-10"/>
        </w:rPr>
        <w:t> </w:t>
      </w:r>
      <w:r>
        <w:rPr>
          <w:spacing w:val="-2"/>
        </w:rPr>
        <w:t>variable</w:t>
      </w:r>
      <w:r>
        <w:rPr>
          <w:spacing w:val="-10"/>
        </w:rPr>
        <w:t> </w:t>
      </w:r>
      <w:r>
        <w:rPr>
          <w:spacing w:val="-2"/>
        </w:rPr>
        <w:t>and</w:t>
      </w:r>
      <w:r>
        <w:rPr>
          <w:spacing w:val="-11"/>
        </w:rPr>
        <w:t> </w:t>
      </w:r>
      <w:r>
        <w:rPr>
          <w:spacing w:val="-2"/>
        </w:rPr>
        <w:t>additional</w:t>
      </w:r>
      <w:r>
        <w:rPr>
          <w:spacing w:val="-10"/>
        </w:rPr>
        <w:t> </w:t>
      </w:r>
      <w:r>
        <w:rPr>
          <w:spacing w:val="-2"/>
        </w:rPr>
        <w:t>fixed</w:t>
      </w:r>
      <w:r>
        <w:rPr>
          <w:spacing w:val="-9"/>
        </w:rPr>
        <w:t> </w:t>
      </w:r>
      <w:r>
        <w:rPr>
          <w:spacing w:val="-2"/>
        </w:rPr>
        <w:t>effects.</w:t>
      </w:r>
      <w:r>
        <w:rPr>
          <w:spacing w:val="14"/>
        </w:rPr>
        <w:t> </w:t>
      </w:r>
      <w:r>
        <w:rPr>
          <w:spacing w:val="-2"/>
        </w:rPr>
        <w:t>The </w:t>
      </w:r>
      <w:r>
        <w:rPr/>
        <w:t>results</w:t>
      </w:r>
      <w:r>
        <w:rPr>
          <w:spacing w:val="-13"/>
        </w:rPr>
        <w:t> </w:t>
      </w:r>
      <w:r>
        <w:rPr/>
        <w:t>of</w:t>
      </w:r>
      <w:r>
        <w:rPr>
          <w:spacing w:val="-12"/>
        </w:rPr>
        <w:t> </w:t>
      </w:r>
      <w:r>
        <w:rPr/>
        <w:t>these</w:t>
      </w:r>
      <w:r>
        <w:rPr>
          <w:spacing w:val="-12"/>
        </w:rPr>
        <w:t> </w:t>
      </w:r>
      <w:r>
        <w:rPr/>
        <w:t>models</w:t>
      </w:r>
      <w:r>
        <w:rPr>
          <w:spacing w:val="-12"/>
        </w:rPr>
        <w:t> </w:t>
      </w:r>
      <w:r>
        <w:rPr/>
        <w:t>were</w:t>
      </w:r>
      <w:r>
        <w:rPr>
          <w:spacing w:val="-11"/>
        </w:rPr>
        <w:t> </w:t>
      </w:r>
      <w:r>
        <w:rPr/>
        <w:t>similar</w:t>
      </w:r>
      <w:r>
        <w:rPr>
          <w:spacing w:val="-12"/>
        </w:rPr>
        <w:t> </w:t>
      </w:r>
      <w:r>
        <w:rPr/>
        <w:t>to</w:t>
      </w:r>
      <w:r>
        <w:rPr>
          <w:spacing w:val="-12"/>
        </w:rPr>
        <w:t> </w:t>
      </w:r>
      <w:r>
        <w:rPr/>
        <w:t>those</w:t>
      </w:r>
      <w:r>
        <w:rPr>
          <w:spacing w:val="-13"/>
        </w:rPr>
        <w:t> </w:t>
      </w:r>
      <w:r>
        <w:rPr/>
        <w:t>shown</w:t>
      </w:r>
      <w:r>
        <w:rPr>
          <w:spacing w:val="-12"/>
        </w:rPr>
        <w:t> </w:t>
      </w:r>
      <w:r>
        <w:rPr/>
        <w:t>here.</w:t>
      </w:r>
      <w:r>
        <w:rPr>
          <w:spacing w:val="5"/>
        </w:rPr>
        <w:t> </w:t>
      </w:r>
      <w:r>
        <w:rPr/>
        <w:t>While</w:t>
      </w:r>
      <w:r>
        <w:rPr>
          <w:spacing w:val="-12"/>
        </w:rPr>
        <w:t> </w:t>
      </w:r>
      <w:r>
        <w:rPr/>
        <w:t>the</w:t>
      </w:r>
      <w:r>
        <w:rPr>
          <w:spacing w:val="-12"/>
        </w:rPr>
        <w:t> </w:t>
      </w:r>
      <w:r>
        <w:rPr/>
        <w:t>second</w:t>
      </w:r>
      <w:r>
        <w:rPr>
          <w:spacing w:val="-12"/>
        </w:rPr>
        <w:t> </w:t>
      </w:r>
      <w:r>
        <w:rPr/>
        <w:t>two</w:t>
      </w:r>
      <w:r>
        <w:rPr>
          <w:spacing w:val="-13"/>
        </w:rPr>
        <w:t> </w:t>
      </w:r>
      <w:r>
        <w:rPr/>
        <w:t>models</w:t>
      </w:r>
      <w:r>
        <w:rPr>
          <w:spacing w:val="-11"/>
        </w:rPr>
        <w:t> </w:t>
      </w:r>
      <w:r>
        <w:rPr/>
        <w:t>in</w:t>
      </w:r>
      <w:r>
        <w:rPr>
          <w:spacing w:val="-13"/>
        </w:rPr>
        <w:t> </w:t>
      </w:r>
      <w:r>
        <w:rPr/>
        <w:t>the</w:t>
      </w:r>
      <w:r>
        <w:rPr>
          <w:spacing w:val="-11"/>
        </w:rPr>
        <w:t> </w:t>
      </w:r>
      <w:r>
        <w:rPr/>
        <w:t>table</w:t>
      </w:r>
      <w:r>
        <w:rPr>
          <w:spacing w:val="-12"/>
        </w:rPr>
        <w:t> </w:t>
      </w:r>
      <w:r>
        <w:rPr/>
        <w:t>used the full dataset of 1200 cases, the number of observations was more severely limited by the inclusion of</w:t>
      </w:r>
      <w:r>
        <w:rPr>
          <w:spacing w:val="-4"/>
        </w:rPr>
        <w:t> </w:t>
      </w:r>
      <w:r>
        <w:rPr/>
        <w:t>the</w:t>
      </w:r>
      <w:r>
        <w:rPr>
          <w:spacing w:val="-4"/>
        </w:rPr>
        <w:t> </w:t>
      </w:r>
      <w:r>
        <w:rPr/>
        <w:t>control</w:t>
      </w:r>
      <w:r>
        <w:rPr>
          <w:spacing w:val="-4"/>
        </w:rPr>
        <w:t> </w:t>
      </w:r>
      <w:r>
        <w:rPr/>
        <w:t>variables</w:t>
      </w:r>
      <w:r>
        <w:rPr>
          <w:spacing w:val="-4"/>
        </w:rPr>
        <w:t> </w:t>
      </w:r>
      <w:r>
        <w:rPr/>
        <w:t>for</w:t>
      </w:r>
      <w:r>
        <w:rPr>
          <w:spacing w:val="-4"/>
        </w:rPr>
        <w:t> </w:t>
      </w:r>
      <w:r>
        <w:rPr/>
        <w:t>which</w:t>
      </w:r>
      <w:r>
        <w:rPr>
          <w:spacing w:val="-4"/>
        </w:rPr>
        <w:t> </w:t>
      </w:r>
      <w:r>
        <w:rPr/>
        <w:t>there</w:t>
      </w:r>
      <w:r>
        <w:rPr>
          <w:spacing w:val="-4"/>
        </w:rPr>
        <w:t> </w:t>
      </w:r>
      <w:r>
        <w:rPr/>
        <w:t>were</w:t>
      </w:r>
      <w:r>
        <w:rPr>
          <w:spacing w:val="-4"/>
        </w:rPr>
        <w:t> </w:t>
      </w:r>
      <w:r>
        <w:rPr/>
        <w:t>fewer</w:t>
      </w:r>
      <w:r>
        <w:rPr>
          <w:spacing w:val="-4"/>
        </w:rPr>
        <w:t> </w:t>
      </w:r>
      <w:r>
        <w:rPr/>
        <w:t>observations.</w:t>
      </w:r>
      <w:r>
        <w:rPr>
          <w:spacing w:val="17"/>
        </w:rPr>
        <w:t> </w:t>
      </w:r>
      <w:r>
        <w:rPr/>
        <w:t>Models</w:t>
      </w:r>
      <w:r>
        <w:rPr>
          <w:spacing w:val="-4"/>
        </w:rPr>
        <w:t> </w:t>
      </w:r>
      <w:r>
        <w:rPr/>
        <w:t>without</w:t>
      </w:r>
      <w:r>
        <w:rPr>
          <w:spacing w:val="-5"/>
        </w:rPr>
        <w:t> </w:t>
      </w:r>
      <w:r>
        <w:rPr/>
        <w:t>control</w:t>
      </w:r>
      <w:r>
        <w:rPr>
          <w:spacing w:val="-4"/>
        </w:rPr>
        <w:t> </w:t>
      </w:r>
      <w:r>
        <w:rPr/>
        <w:t>variables</w:t>
      </w:r>
      <w:r>
        <w:rPr>
          <w:spacing w:val="-4"/>
        </w:rPr>
        <w:t> </w:t>
      </w:r>
      <w:r>
        <w:rPr/>
        <w:t>saw similar performance of the primary independent variables of oil price and oil rents, but these models without controls had much weaker fit.</w:t>
      </w:r>
    </w:p>
    <w:p>
      <w:pPr>
        <w:pStyle w:val="BodyText"/>
        <w:spacing w:line="316" w:lineRule="auto" w:before="132"/>
        <w:ind w:left="117" w:right="633" w:firstLine="298"/>
        <w:jc w:val="both"/>
      </w:pPr>
      <w:r>
        <w:rPr/>
        <w:t>Based on these results, it seems plausible to suspect that significant prices shocks can be expected to have an impact on both the intensity of civil conflict (H1), as well as the level of military spending, which mediates this outcome (H2).</w:t>
      </w:r>
    </w:p>
    <w:p>
      <w:pPr>
        <w:spacing w:after="0" w:line="316" w:lineRule="auto"/>
        <w:jc w:val="both"/>
        <w:sectPr>
          <w:pgSz w:w="12240" w:h="15840"/>
          <w:pgMar w:header="0" w:footer="1252" w:top="1100" w:bottom="1440" w:left="1300" w:right="1200"/>
        </w:sectPr>
      </w:pPr>
    </w:p>
    <w:p>
      <w:pPr>
        <w:pStyle w:val="BodyText"/>
        <w:spacing w:before="41"/>
        <w:ind w:left="3871"/>
      </w:pPr>
      <w:r>
        <w:rPr/>
        <w:pict>
          <v:shape style="position:absolute;margin-left:61.66235pt;margin-top:289.550995pt;width:12pt;height:12pt;mso-position-horizontal-relative:page;mso-position-vertical-relative:page;z-index:15738880" type="#_x0000_t202" id="docshape19" filled="false" stroked="false">
            <v:textbox inset="0,0,0,0" style="layout-flow:vertical">
              <w:txbxContent>
                <w:p>
                  <w:pPr>
                    <w:pStyle w:val="BodyText"/>
                    <w:spacing w:line="213" w:lineRule="exact"/>
                    <w:ind w:left="20"/>
                  </w:pPr>
                  <w:r>
                    <w:rPr>
                      <w:spacing w:val="-5"/>
                    </w:rPr>
                    <w:t>16</w:t>
                  </w:r>
                </w:p>
              </w:txbxContent>
            </v:textbox>
            <w10:wrap type="none"/>
          </v:shape>
        </w:pict>
      </w:r>
      <w:r>
        <w:rPr/>
        <w:t>Table</w:t>
      </w:r>
      <w:r>
        <w:rPr>
          <w:spacing w:val="3"/>
        </w:rPr>
        <w:t> </w:t>
      </w:r>
      <w:r>
        <w:rPr/>
        <w:t>3:</w:t>
      </w:r>
      <w:r>
        <w:rPr>
          <w:spacing w:val="21"/>
        </w:rPr>
        <w:t> </w:t>
      </w:r>
      <w:r>
        <w:rPr/>
        <w:t>Oil</w:t>
      </w:r>
      <w:r>
        <w:rPr>
          <w:spacing w:val="3"/>
        </w:rPr>
        <w:t> </w:t>
      </w:r>
      <w:r>
        <w:rPr/>
        <w:t>Prices</w:t>
      </w:r>
      <w:r>
        <w:rPr>
          <w:spacing w:val="4"/>
        </w:rPr>
        <w:t> </w:t>
      </w:r>
      <w:r>
        <w:rPr/>
        <w:t>and</w:t>
      </w:r>
      <w:r>
        <w:rPr>
          <w:spacing w:val="4"/>
        </w:rPr>
        <w:t> </w:t>
      </w:r>
      <w:r>
        <w:rPr/>
        <w:t>Military</w:t>
      </w:r>
      <w:r>
        <w:rPr>
          <w:spacing w:val="4"/>
        </w:rPr>
        <w:t> </w:t>
      </w:r>
      <w:r>
        <w:rPr/>
        <w:t>Spending</w:t>
      </w:r>
      <w:r>
        <w:rPr>
          <w:spacing w:val="4"/>
        </w:rPr>
        <w:t> </w:t>
      </w:r>
      <w:r>
        <w:rPr/>
        <w:t>in</w:t>
      </w:r>
      <w:r>
        <w:rPr>
          <w:spacing w:val="3"/>
        </w:rPr>
        <w:t> </w:t>
      </w:r>
      <w:r>
        <w:rPr/>
        <w:t>Conflict</w:t>
      </w:r>
      <w:r>
        <w:rPr>
          <w:spacing w:val="4"/>
        </w:rPr>
        <w:t> </w:t>
      </w:r>
      <w:r>
        <w:rPr>
          <w:spacing w:val="-2"/>
        </w:rPr>
        <w:t>States</w:t>
      </w:r>
    </w:p>
    <w:p>
      <w:pPr>
        <w:pStyle w:val="BodyText"/>
        <w:spacing w:before="4"/>
        <w:rPr>
          <w:sz w:val="25"/>
        </w:rPr>
      </w:pPr>
      <w:r>
        <w:rPr/>
        <w:pict>
          <v:group style="position:absolute;margin-left:95.041pt;margin-top:15.605696pt;width:599.550pt;height:2.4pt;mso-position-horizontal-relative:page;mso-position-vertical-relative:paragraph;z-index:-15719424;mso-wrap-distance-left:0;mso-wrap-distance-right:0" id="docshapegroup20" coordorigin="1901,312" coordsize="11991,48">
            <v:line style="position:absolute" from="1901,316" to="13891,316" stroked="true" strokeweight=".398pt" strokecolor="#000000">
              <v:stroke dashstyle="solid"/>
            </v:line>
            <v:line style="position:absolute" from="1901,356" to="13891,356" stroked="true" strokeweight=".398pt" strokecolor="#000000">
              <v:stroke dashstyle="solid"/>
            </v:line>
            <w10:wrap type="topAndBottom"/>
          </v:group>
        </w:pict>
      </w:r>
    </w:p>
    <w:p>
      <w:pPr>
        <w:spacing w:before="63" w:after="30"/>
        <w:ind w:left="5856" w:right="3378" w:firstLine="0"/>
        <w:jc w:val="center"/>
        <w:rPr>
          <w:rFonts w:ascii="Bookman Old Style"/>
          <w:b w:val="0"/>
          <w:i/>
          <w:sz w:val="20"/>
        </w:rPr>
      </w:pPr>
      <w:r>
        <w:rPr>
          <w:rFonts w:ascii="Bookman Old Style"/>
          <w:b w:val="0"/>
          <w:i/>
          <w:spacing w:val="-2"/>
          <w:w w:val="90"/>
          <w:sz w:val="20"/>
        </w:rPr>
        <w:t>Dependent</w:t>
      </w:r>
      <w:r>
        <w:rPr>
          <w:rFonts w:ascii="Bookman Old Style"/>
          <w:b w:val="0"/>
          <w:i/>
          <w:spacing w:val="1"/>
          <w:sz w:val="20"/>
        </w:rPr>
        <w:t> </w:t>
      </w:r>
      <w:r>
        <w:rPr>
          <w:rFonts w:ascii="Bookman Old Style"/>
          <w:b w:val="0"/>
          <w:i/>
          <w:spacing w:val="-2"/>
          <w:sz w:val="20"/>
        </w:rPr>
        <w:t>variable:</w:t>
      </w:r>
    </w:p>
    <w:p>
      <w:pPr>
        <w:pStyle w:val="BodyText"/>
        <w:spacing w:line="20" w:lineRule="exact"/>
        <w:ind w:left="2599"/>
        <w:rPr>
          <w:rFonts w:ascii="Bookman Old Style"/>
          <w:sz w:val="2"/>
        </w:rPr>
      </w:pPr>
      <w:r>
        <w:rPr>
          <w:rFonts w:ascii="Bookman Old Style"/>
          <w:sz w:val="2"/>
        </w:rPr>
        <w:pict>
          <v:group style="width:474.65pt;height:.4pt;mso-position-horizontal-relative:char;mso-position-vertical-relative:line" id="docshapegroup21" coordorigin="0,0" coordsize="9493,8">
            <v:line style="position:absolute" from="0,4" to="9492,4" stroked="true" strokeweight=".398pt" strokecolor="#000000">
              <v:stroke dashstyle="solid"/>
            </v:line>
          </v:group>
        </w:pict>
      </w:r>
      <w:r>
        <w:rPr>
          <w:rFonts w:ascii="Bookman Old Style"/>
          <w:sz w:val="2"/>
        </w:rPr>
      </w:r>
    </w:p>
    <w:p>
      <w:pPr>
        <w:pStyle w:val="BodyText"/>
        <w:spacing w:before="44"/>
        <w:ind w:left="5868" w:right="3378"/>
        <w:jc w:val="center"/>
      </w:pPr>
      <w:r>
        <w:rPr/>
        <w:t>Military</w:t>
      </w:r>
      <w:r>
        <w:rPr>
          <w:spacing w:val="-3"/>
        </w:rPr>
        <w:t> </w:t>
      </w:r>
      <w:r>
        <w:rPr/>
        <w:t>Expenditure</w:t>
      </w:r>
      <w:r>
        <w:rPr>
          <w:spacing w:val="-2"/>
        </w:rPr>
        <w:t> </w:t>
      </w:r>
      <w:r>
        <w:rPr/>
        <w:t>(2017</w:t>
      </w:r>
      <w:r>
        <w:rPr>
          <w:spacing w:val="-2"/>
        </w:rPr>
        <w:t> </w:t>
      </w:r>
      <w:r>
        <w:rPr>
          <w:spacing w:val="-4"/>
        </w:rPr>
        <w:t>USD)</w:t>
      </w:r>
    </w:p>
    <w:p>
      <w:pPr>
        <w:pStyle w:val="BodyText"/>
        <w:spacing w:before="1"/>
        <w:rPr>
          <w:sz w:val="7"/>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9"/>
        <w:gridCol w:w="2348"/>
        <w:gridCol w:w="2349"/>
        <w:gridCol w:w="2449"/>
        <w:gridCol w:w="2399"/>
      </w:tblGrid>
      <w:tr>
        <w:trPr>
          <w:trHeight w:val="270" w:hRule="atLeast"/>
        </w:trPr>
        <w:tc>
          <w:tcPr>
            <w:tcW w:w="2449" w:type="dxa"/>
            <w:tcBorders>
              <w:bottom w:val="single" w:sz="4" w:space="0" w:color="000000"/>
            </w:tcBorders>
          </w:tcPr>
          <w:p>
            <w:pPr>
              <w:pStyle w:val="TableParagraph"/>
              <w:jc w:val="left"/>
              <w:rPr>
                <w:rFonts w:ascii="Times New Roman"/>
                <w:sz w:val="18"/>
              </w:rPr>
            </w:pPr>
          </w:p>
        </w:tc>
        <w:tc>
          <w:tcPr>
            <w:tcW w:w="2348" w:type="dxa"/>
            <w:tcBorders>
              <w:bottom w:val="single" w:sz="4" w:space="0" w:color="000000"/>
            </w:tcBorders>
          </w:tcPr>
          <w:p>
            <w:pPr>
              <w:pStyle w:val="TableParagraph"/>
              <w:spacing w:before="16"/>
              <w:ind w:left="158" w:right="158"/>
              <w:rPr>
                <w:sz w:val="20"/>
              </w:rPr>
            </w:pPr>
            <w:r>
              <w:rPr>
                <w:sz w:val="20"/>
              </w:rPr>
              <w:t>(Oil</w:t>
            </w:r>
            <w:r>
              <w:rPr>
                <w:spacing w:val="10"/>
                <w:sz w:val="20"/>
              </w:rPr>
              <w:t> </w:t>
            </w:r>
            <w:r>
              <w:rPr>
                <w:sz w:val="20"/>
              </w:rPr>
              <w:t>Reliant</w:t>
            </w:r>
            <w:r>
              <w:rPr>
                <w:spacing w:val="10"/>
                <w:sz w:val="20"/>
              </w:rPr>
              <w:t> </w:t>
            </w:r>
            <w:r>
              <w:rPr>
                <w:spacing w:val="-2"/>
                <w:sz w:val="20"/>
              </w:rPr>
              <w:t>States)</w:t>
            </w:r>
          </w:p>
        </w:tc>
        <w:tc>
          <w:tcPr>
            <w:tcW w:w="2349" w:type="dxa"/>
            <w:tcBorders>
              <w:bottom w:val="single" w:sz="4" w:space="0" w:color="000000"/>
            </w:tcBorders>
          </w:tcPr>
          <w:p>
            <w:pPr>
              <w:pStyle w:val="TableParagraph"/>
              <w:spacing w:before="16"/>
              <w:ind w:left="158" w:right="158"/>
              <w:rPr>
                <w:sz w:val="20"/>
              </w:rPr>
            </w:pPr>
            <w:r>
              <w:rPr>
                <w:sz w:val="20"/>
              </w:rPr>
              <w:t>(Oil</w:t>
            </w:r>
            <w:r>
              <w:rPr>
                <w:spacing w:val="10"/>
                <w:sz w:val="20"/>
              </w:rPr>
              <w:t> </w:t>
            </w:r>
            <w:r>
              <w:rPr>
                <w:sz w:val="20"/>
              </w:rPr>
              <w:t>Reliant</w:t>
            </w:r>
            <w:r>
              <w:rPr>
                <w:spacing w:val="10"/>
                <w:sz w:val="20"/>
              </w:rPr>
              <w:t> </w:t>
            </w:r>
            <w:r>
              <w:rPr>
                <w:spacing w:val="-2"/>
                <w:sz w:val="20"/>
              </w:rPr>
              <w:t>States)</w:t>
            </w:r>
          </w:p>
        </w:tc>
        <w:tc>
          <w:tcPr>
            <w:tcW w:w="2449" w:type="dxa"/>
            <w:tcBorders>
              <w:bottom w:val="single" w:sz="4" w:space="0" w:color="000000"/>
            </w:tcBorders>
          </w:tcPr>
          <w:p>
            <w:pPr>
              <w:pStyle w:val="TableParagraph"/>
              <w:spacing w:before="16"/>
              <w:ind w:left="146" w:right="148"/>
              <w:rPr>
                <w:sz w:val="20"/>
              </w:rPr>
            </w:pPr>
            <w:r>
              <w:rPr>
                <w:sz w:val="20"/>
              </w:rPr>
              <w:t>(All</w:t>
            </w:r>
            <w:r>
              <w:rPr>
                <w:spacing w:val="30"/>
                <w:sz w:val="20"/>
              </w:rPr>
              <w:t> </w:t>
            </w:r>
            <w:r>
              <w:rPr>
                <w:spacing w:val="-2"/>
                <w:sz w:val="20"/>
              </w:rPr>
              <w:t>States)</w:t>
            </w:r>
          </w:p>
        </w:tc>
        <w:tc>
          <w:tcPr>
            <w:tcW w:w="2399" w:type="dxa"/>
            <w:tcBorders>
              <w:bottom w:val="single" w:sz="4" w:space="0" w:color="000000"/>
            </w:tcBorders>
          </w:tcPr>
          <w:p>
            <w:pPr>
              <w:pStyle w:val="TableParagraph"/>
              <w:spacing w:before="16"/>
              <w:ind w:left="145" w:right="102"/>
              <w:rPr>
                <w:sz w:val="20"/>
              </w:rPr>
            </w:pPr>
            <w:r>
              <w:rPr>
                <w:sz w:val="20"/>
              </w:rPr>
              <w:t>(All</w:t>
            </w:r>
            <w:r>
              <w:rPr>
                <w:spacing w:val="30"/>
                <w:sz w:val="20"/>
              </w:rPr>
              <w:t> </w:t>
            </w:r>
            <w:r>
              <w:rPr>
                <w:spacing w:val="-2"/>
                <w:sz w:val="20"/>
              </w:rPr>
              <w:t>States)</w:t>
            </w:r>
          </w:p>
        </w:tc>
      </w:tr>
      <w:tr>
        <w:trPr>
          <w:trHeight w:val="320" w:hRule="atLeast"/>
        </w:trPr>
        <w:tc>
          <w:tcPr>
            <w:tcW w:w="2449" w:type="dxa"/>
            <w:tcBorders>
              <w:top w:val="single" w:sz="4" w:space="0" w:color="000000"/>
            </w:tcBorders>
          </w:tcPr>
          <w:p>
            <w:pPr>
              <w:pStyle w:val="TableParagraph"/>
              <w:spacing w:before="67"/>
              <w:jc w:val="left"/>
              <w:rPr>
                <w:sz w:val="20"/>
              </w:rPr>
            </w:pPr>
            <w:r>
              <w:rPr>
                <w:w w:val="105"/>
                <w:sz w:val="20"/>
              </w:rPr>
              <w:t>WTI</w:t>
            </w:r>
            <w:r>
              <w:rPr>
                <w:spacing w:val="15"/>
                <w:w w:val="105"/>
                <w:sz w:val="20"/>
              </w:rPr>
              <w:t> </w:t>
            </w:r>
            <w:r>
              <w:rPr>
                <w:spacing w:val="-2"/>
                <w:w w:val="105"/>
                <w:sz w:val="20"/>
              </w:rPr>
              <w:t>P(t)*Oilrents</w:t>
            </w:r>
          </w:p>
        </w:tc>
        <w:tc>
          <w:tcPr>
            <w:tcW w:w="2348" w:type="dxa"/>
            <w:tcBorders>
              <w:top w:val="single" w:sz="4" w:space="0" w:color="000000"/>
            </w:tcBorders>
          </w:tcPr>
          <w:p>
            <w:pPr>
              <w:pStyle w:val="TableParagraph"/>
              <w:jc w:val="left"/>
              <w:rPr>
                <w:rFonts w:ascii="Times New Roman"/>
                <w:sz w:val="18"/>
              </w:rPr>
            </w:pPr>
          </w:p>
        </w:tc>
        <w:tc>
          <w:tcPr>
            <w:tcW w:w="2349" w:type="dxa"/>
            <w:tcBorders>
              <w:top w:val="single" w:sz="4" w:space="0" w:color="000000"/>
            </w:tcBorders>
          </w:tcPr>
          <w:p>
            <w:pPr>
              <w:pStyle w:val="TableParagraph"/>
              <w:jc w:val="left"/>
              <w:rPr>
                <w:rFonts w:ascii="Times New Roman"/>
                <w:sz w:val="18"/>
              </w:rPr>
            </w:pPr>
          </w:p>
        </w:tc>
        <w:tc>
          <w:tcPr>
            <w:tcW w:w="2449" w:type="dxa"/>
            <w:tcBorders>
              <w:top w:val="single" w:sz="4" w:space="0" w:color="000000"/>
            </w:tcBorders>
          </w:tcPr>
          <w:p>
            <w:pPr>
              <w:pStyle w:val="TableParagraph"/>
              <w:spacing w:line="269" w:lineRule="exact" w:before="31"/>
              <w:ind w:left="137" w:right="148"/>
              <w:rPr>
                <w:rFonts w:ascii="Lucida Sans Unicode" w:hAnsi="Lucida Sans Unicode"/>
                <w:sz w:val="20"/>
              </w:rPr>
            </w:pPr>
            <w:r>
              <w:rPr>
                <w:spacing w:val="-2"/>
                <w:sz w:val="20"/>
              </w:rPr>
              <w:t>14,087,750</w:t>
            </w:r>
            <w:r>
              <w:rPr>
                <w:rFonts w:ascii="Lucida Sans Unicode" w:hAnsi="Lucida Sans Unicode"/>
                <w:spacing w:val="-2"/>
                <w:sz w:val="20"/>
                <w:vertAlign w:val="superscript"/>
              </w:rPr>
              <w:t>∗∗∗</w:t>
            </w:r>
          </w:p>
        </w:tc>
        <w:tc>
          <w:tcPr>
            <w:tcW w:w="2399" w:type="dxa"/>
            <w:tcBorders>
              <w:top w:val="single" w:sz="4" w:space="0" w:color="000000"/>
            </w:tcBorders>
          </w:tcPr>
          <w:p>
            <w:pPr>
              <w:pStyle w:val="TableParagraph"/>
              <w:jc w:val="left"/>
              <w:rPr>
                <w:rFonts w:ascii="Times New Roman"/>
                <w:sz w:val="18"/>
              </w:rPr>
            </w:pPr>
          </w:p>
        </w:tc>
      </w:tr>
      <w:tr>
        <w:trPr>
          <w:trHeight w:val="342" w:hRule="atLeast"/>
        </w:trPr>
        <w:tc>
          <w:tcPr>
            <w:tcW w:w="2449" w:type="dxa"/>
          </w:tcPr>
          <w:p>
            <w:pPr>
              <w:pStyle w:val="TableParagraph"/>
              <w:jc w:val="left"/>
              <w:rPr>
                <w:rFonts w:ascii="Times New Roman"/>
                <w:sz w:val="18"/>
              </w:rPr>
            </w:pPr>
          </w:p>
        </w:tc>
        <w:tc>
          <w:tcPr>
            <w:tcW w:w="2348" w:type="dxa"/>
          </w:tcPr>
          <w:p>
            <w:pPr>
              <w:pStyle w:val="TableParagraph"/>
              <w:jc w:val="left"/>
              <w:rPr>
                <w:rFonts w:ascii="Times New Roman"/>
                <w:sz w:val="18"/>
              </w:rPr>
            </w:pPr>
          </w:p>
        </w:tc>
        <w:tc>
          <w:tcPr>
            <w:tcW w:w="2349" w:type="dxa"/>
          </w:tcPr>
          <w:p>
            <w:pPr>
              <w:pStyle w:val="TableParagraph"/>
              <w:jc w:val="left"/>
              <w:rPr>
                <w:rFonts w:ascii="Times New Roman"/>
                <w:sz w:val="18"/>
              </w:rPr>
            </w:pPr>
          </w:p>
        </w:tc>
        <w:tc>
          <w:tcPr>
            <w:tcW w:w="2449" w:type="dxa"/>
          </w:tcPr>
          <w:p>
            <w:pPr>
              <w:pStyle w:val="TableParagraph"/>
              <w:spacing w:line="213" w:lineRule="exact"/>
              <w:ind w:left="147" w:right="147"/>
              <w:rPr>
                <w:sz w:val="20"/>
              </w:rPr>
            </w:pPr>
            <w:r>
              <w:rPr>
                <w:spacing w:val="-2"/>
                <w:sz w:val="20"/>
              </w:rPr>
              <w:t>(3,689,224)</w:t>
            </w:r>
          </w:p>
        </w:tc>
        <w:tc>
          <w:tcPr>
            <w:tcW w:w="2399" w:type="dxa"/>
          </w:tcPr>
          <w:p>
            <w:pPr>
              <w:pStyle w:val="TableParagraph"/>
              <w:jc w:val="left"/>
              <w:rPr>
                <w:rFonts w:ascii="Times New Roman"/>
                <w:sz w:val="18"/>
              </w:rPr>
            </w:pPr>
          </w:p>
        </w:tc>
      </w:tr>
      <w:tr>
        <w:trPr>
          <w:trHeight w:val="375" w:hRule="atLeast"/>
        </w:trPr>
        <w:tc>
          <w:tcPr>
            <w:tcW w:w="2449" w:type="dxa"/>
          </w:tcPr>
          <w:p>
            <w:pPr>
              <w:pStyle w:val="TableParagraph"/>
              <w:spacing w:before="122"/>
              <w:ind w:left="-1"/>
              <w:jc w:val="left"/>
              <w:rPr>
                <w:sz w:val="20"/>
              </w:rPr>
            </w:pPr>
            <w:r>
              <w:rPr>
                <w:sz w:val="20"/>
              </w:rPr>
              <w:t>WTI</w:t>
            </w:r>
            <w:r>
              <w:rPr>
                <w:spacing w:val="37"/>
                <w:sz w:val="20"/>
              </w:rPr>
              <w:t> </w:t>
            </w:r>
            <w:r>
              <w:rPr>
                <w:sz w:val="20"/>
              </w:rPr>
              <w:t>P(t-1)*Oil</w:t>
            </w:r>
            <w:r>
              <w:rPr>
                <w:spacing w:val="37"/>
                <w:sz w:val="20"/>
              </w:rPr>
              <w:t> </w:t>
            </w:r>
            <w:r>
              <w:rPr>
                <w:sz w:val="20"/>
              </w:rPr>
              <w:t>rents(t-</w:t>
            </w:r>
            <w:r>
              <w:rPr>
                <w:spacing w:val="-5"/>
                <w:sz w:val="20"/>
              </w:rPr>
              <w:t>1)</w:t>
            </w:r>
          </w:p>
        </w:tc>
        <w:tc>
          <w:tcPr>
            <w:tcW w:w="2348" w:type="dxa"/>
          </w:tcPr>
          <w:p>
            <w:pPr>
              <w:pStyle w:val="TableParagraph"/>
              <w:jc w:val="left"/>
              <w:rPr>
                <w:rFonts w:ascii="Times New Roman"/>
                <w:sz w:val="18"/>
              </w:rPr>
            </w:pPr>
          </w:p>
        </w:tc>
        <w:tc>
          <w:tcPr>
            <w:tcW w:w="2349" w:type="dxa"/>
          </w:tcPr>
          <w:p>
            <w:pPr>
              <w:pStyle w:val="TableParagraph"/>
              <w:jc w:val="left"/>
              <w:rPr>
                <w:rFonts w:ascii="Times New Roman"/>
                <w:sz w:val="18"/>
              </w:rPr>
            </w:pPr>
          </w:p>
        </w:tc>
        <w:tc>
          <w:tcPr>
            <w:tcW w:w="2449" w:type="dxa"/>
          </w:tcPr>
          <w:p>
            <w:pPr>
              <w:pStyle w:val="TableParagraph"/>
              <w:jc w:val="left"/>
              <w:rPr>
                <w:rFonts w:ascii="Times New Roman"/>
                <w:sz w:val="18"/>
              </w:rPr>
            </w:pPr>
          </w:p>
        </w:tc>
        <w:tc>
          <w:tcPr>
            <w:tcW w:w="2399" w:type="dxa"/>
          </w:tcPr>
          <w:p>
            <w:pPr>
              <w:pStyle w:val="TableParagraph"/>
              <w:spacing w:line="269" w:lineRule="exact" w:before="86"/>
              <w:ind w:left="136" w:right="102"/>
              <w:rPr>
                <w:rFonts w:ascii="Lucida Sans Unicode" w:hAnsi="Lucida Sans Unicode"/>
                <w:sz w:val="20"/>
              </w:rPr>
            </w:pPr>
            <w:r>
              <w:rPr>
                <w:spacing w:val="-2"/>
                <w:sz w:val="20"/>
              </w:rPr>
              <w:t>3,216,664</w:t>
            </w:r>
            <w:r>
              <w:rPr>
                <w:rFonts w:ascii="Lucida Sans Unicode" w:hAnsi="Lucida Sans Unicode"/>
                <w:spacing w:val="-2"/>
                <w:sz w:val="20"/>
                <w:vertAlign w:val="superscript"/>
              </w:rPr>
              <w:t>∗∗∗</w:t>
            </w:r>
          </w:p>
        </w:tc>
      </w:tr>
      <w:tr>
        <w:trPr>
          <w:trHeight w:val="342" w:hRule="atLeast"/>
        </w:trPr>
        <w:tc>
          <w:tcPr>
            <w:tcW w:w="2449" w:type="dxa"/>
          </w:tcPr>
          <w:p>
            <w:pPr>
              <w:pStyle w:val="TableParagraph"/>
              <w:jc w:val="left"/>
              <w:rPr>
                <w:rFonts w:ascii="Times New Roman"/>
                <w:sz w:val="18"/>
              </w:rPr>
            </w:pPr>
          </w:p>
        </w:tc>
        <w:tc>
          <w:tcPr>
            <w:tcW w:w="2348" w:type="dxa"/>
          </w:tcPr>
          <w:p>
            <w:pPr>
              <w:pStyle w:val="TableParagraph"/>
              <w:jc w:val="left"/>
              <w:rPr>
                <w:rFonts w:ascii="Times New Roman"/>
                <w:sz w:val="18"/>
              </w:rPr>
            </w:pPr>
          </w:p>
        </w:tc>
        <w:tc>
          <w:tcPr>
            <w:tcW w:w="2349" w:type="dxa"/>
          </w:tcPr>
          <w:p>
            <w:pPr>
              <w:pStyle w:val="TableParagraph"/>
              <w:jc w:val="left"/>
              <w:rPr>
                <w:rFonts w:ascii="Times New Roman"/>
                <w:sz w:val="18"/>
              </w:rPr>
            </w:pPr>
          </w:p>
        </w:tc>
        <w:tc>
          <w:tcPr>
            <w:tcW w:w="2449" w:type="dxa"/>
          </w:tcPr>
          <w:p>
            <w:pPr>
              <w:pStyle w:val="TableParagraph"/>
              <w:jc w:val="left"/>
              <w:rPr>
                <w:rFonts w:ascii="Times New Roman"/>
                <w:sz w:val="18"/>
              </w:rPr>
            </w:pPr>
          </w:p>
        </w:tc>
        <w:tc>
          <w:tcPr>
            <w:tcW w:w="2399" w:type="dxa"/>
          </w:tcPr>
          <w:p>
            <w:pPr>
              <w:pStyle w:val="TableParagraph"/>
              <w:spacing w:line="213" w:lineRule="exact"/>
              <w:ind w:left="145" w:right="100"/>
              <w:rPr>
                <w:sz w:val="20"/>
              </w:rPr>
            </w:pPr>
            <w:r>
              <w:rPr>
                <w:spacing w:val="-2"/>
                <w:sz w:val="20"/>
              </w:rPr>
              <w:t>(1,905,151)</w:t>
            </w:r>
          </w:p>
        </w:tc>
      </w:tr>
      <w:tr>
        <w:trPr>
          <w:trHeight w:val="375" w:hRule="atLeast"/>
        </w:trPr>
        <w:tc>
          <w:tcPr>
            <w:tcW w:w="2449" w:type="dxa"/>
          </w:tcPr>
          <w:p>
            <w:pPr>
              <w:pStyle w:val="TableParagraph"/>
              <w:spacing w:before="122"/>
              <w:ind w:left="-1"/>
              <w:jc w:val="left"/>
              <w:rPr>
                <w:sz w:val="20"/>
              </w:rPr>
            </w:pPr>
            <w:r>
              <w:rPr>
                <w:w w:val="105"/>
                <w:sz w:val="20"/>
              </w:rPr>
              <w:t>WTI</w:t>
            </w:r>
            <w:r>
              <w:rPr>
                <w:spacing w:val="15"/>
                <w:w w:val="105"/>
                <w:sz w:val="20"/>
              </w:rPr>
              <w:t> </w:t>
            </w:r>
            <w:r>
              <w:rPr>
                <w:spacing w:val="-4"/>
                <w:w w:val="105"/>
                <w:sz w:val="20"/>
              </w:rPr>
              <w:t>P(t)</w:t>
            </w:r>
          </w:p>
        </w:tc>
        <w:tc>
          <w:tcPr>
            <w:tcW w:w="2348" w:type="dxa"/>
          </w:tcPr>
          <w:p>
            <w:pPr>
              <w:pStyle w:val="TableParagraph"/>
              <w:spacing w:before="122"/>
              <w:ind w:left="158" w:right="158"/>
              <w:rPr>
                <w:sz w:val="20"/>
              </w:rPr>
            </w:pPr>
            <w:r>
              <w:rPr>
                <w:spacing w:val="-2"/>
                <w:sz w:val="20"/>
              </w:rPr>
              <w:t>5,314,081</w:t>
            </w:r>
          </w:p>
        </w:tc>
        <w:tc>
          <w:tcPr>
            <w:tcW w:w="2349" w:type="dxa"/>
          </w:tcPr>
          <w:p>
            <w:pPr>
              <w:pStyle w:val="TableParagraph"/>
              <w:jc w:val="left"/>
              <w:rPr>
                <w:rFonts w:ascii="Times New Roman"/>
                <w:sz w:val="18"/>
              </w:rPr>
            </w:pPr>
          </w:p>
        </w:tc>
        <w:tc>
          <w:tcPr>
            <w:tcW w:w="2449" w:type="dxa"/>
          </w:tcPr>
          <w:p>
            <w:pPr>
              <w:pStyle w:val="TableParagraph"/>
              <w:spacing w:line="269" w:lineRule="exact" w:before="86"/>
              <w:ind w:left="137" w:right="148"/>
              <w:rPr>
                <w:rFonts w:ascii="Lucida Sans Unicode" w:hAnsi="Lucida Sans Unicode"/>
                <w:sz w:val="20"/>
              </w:rPr>
            </w:pPr>
            <w:r>
              <w:rPr>
                <w:rFonts w:ascii="Lucida Sans Unicode" w:hAnsi="Lucida Sans Unicode"/>
                <w:spacing w:val="-2"/>
                <w:sz w:val="20"/>
              </w:rPr>
              <w:t>−</w:t>
            </w:r>
            <w:r>
              <w:rPr>
                <w:spacing w:val="-2"/>
                <w:sz w:val="20"/>
              </w:rPr>
              <w:t>28,047,722</w:t>
            </w:r>
            <w:r>
              <w:rPr>
                <w:rFonts w:ascii="Lucida Sans Unicode" w:hAnsi="Lucida Sans Unicode"/>
                <w:spacing w:val="-2"/>
                <w:sz w:val="20"/>
                <w:vertAlign w:val="superscript"/>
              </w:rPr>
              <w:t>∗∗</w:t>
            </w:r>
          </w:p>
        </w:tc>
        <w:tc>
          <w:tcPr>
            <w:tcW w:w="2399" w:type="dxa"/>
          </w:tcPr>
          <w:p>
            <w:pPr>
              <w:pStyle w:val="TableParagraph"/>
              <w:jc w:val="left"/>
              <w:rPr>
                <w:rFonts w:ascii="Times New Roman"/>
                <w:sz w:val="18"/>
              </w:rPr>
            </w:pPr>
          </w:p>
        </w:tc>
      </w:tr>
      <w:tr>
        <w:trPr>
          <w:trHeight w:val="342" w:hRule="atLeast"/>
        </w:trPr>
        <w:tc>
          <w:tcPr>
            <w:tcW w:w="2449" w:type="dxa"/>
          </w:tcPr>
          <w:p>
            <w:pPr>
              <w:pStyle w:val="TableParagraph"/>
              <w:jc w:val="left"/>
              <w:rPr>
                <w:rFonts w:ascii="Times New Roman"/>
                <w:sz w:val="18"/>
              </w:rPr>
            </w:pPr>
          </w:p>
        </w:tc>
        <w:tc>
          <w:tcPr>
            <w:tcW w:w="2348" w:type="dxa"/>
          </w:tcPr>
          <w:p>
            <w:pPr>
              <w:pStyle w:val="TableParagraph"/>
              <w:spacing w:line="213" w:lineRule="exact"/>
              <w:ind w:left="158" w:right="158"/>
              <w:rPr>
                <w:sz w:val="20"/>
              </w:rPr>
            </w:pPr>
            <w:r>
              <w:rPr>
                <w:spacing w:val="-2"/>
                <w:sz w:val="20"/>
              </w:rPr>
              <w:t>(9,607,049)</w:t>
            </w:r>
          </w:p>
        </w:tc>
        <w:tc>
          <w:tcPr>
            <w:tcW w:w="2349" w:type="dxa"/>
          </w:tcPr>
          <w:p>
            <w:pPr>
              <w:pStyle w:val="TableParagraph"/>
              <w:jc w:val="left"/>
              <w:rPr>
                <w:rFonts w:ascii="Times New Roman"/>
                <w:sz w:val="18"/>
              </w:rPr>
            </w:pPr>
          </w:p>
        </w:tc>
        <w:tc>
          <w:tcPr>
            <w:tcW w:w="2449" w:type="dxa"/>
          </w:tcPr>
          <w:p>
            <w:pPr>
              <w:pStyle w:val="TableParagraph"/>
              <w:spacing w:line="213" w:lineRule="exact"/>
              <w:ind w:left="147" w:right="147"/>
              <w:rPr>
                <w:sz w:val="20"/>
              </w:rPr>
            </w:pPr>
            <w:r>
              <w:rPr>
                <w:spacing w:val="-2"/>
                <w:sz w:val="20"/>
              </w:rPr>
              <w:t>(13,037,850)</w:t>
            </w:r>
          </w:p>
        </w:tc>
        <w:tc>
          <w:tcPr>
            <w:tcW w:w="2399" w:type="dxa"/>
          </w:tcPr>
          <w:p>
            <w:pPr>
              <w:pStyle w:val="TableParagraph"/>
              <w:jc w:val="left"/>
              <w:rPr>
                <w:rFonts w:ascii="Times New Roman"/>
                <w:sz w:val="18"/>
              </w:rPr>
            </w:pPr>
          </w:p>
        </w:tc>
      </w:tr>
      <w:tr>
        <w:trPr>
          <w:trHeight w:val="375" w:hRule="atLeast"/>
        </w:trPr>
        <w:tc>
          <w:tcPr>
            <w:tcW w:w="2449" w:type="dxa"/>
          </w:tcPr>
          <w:p>
            <w:pPr>
              <w:pStyle w:val="TableParagraph"/>
              <w:spacing w:before="122"/>
              <w:ind w:left="-1"/>
              <w:jc w:val="left"/>
              <w:rPr>
                <w:sz w:val="20"/>
              </w:rPr>
            </w:pPr>
            <w:r>
              <w:rPr>
                <w:w w:val="105"/>
                <w:sz w:val="20"/>
              </w:rPr>
              <w:t>WTI</w:t>
            </w:r>
            <w:r>
              <w:rPr>
                <w:spacing w:val="17"/>
                <w:w w:val="105"/>
                <w:sz w:val="20"/>
              </w:rPr>
              <w:t> </w:t>
            </w:r>
            <w:r>
              <w:rPr>
                <w:w w:val="105"/>
                <w:sz w:val="20"/>
              </w:rPr>
              <w:t>P(t-</w:t>
            </w:r>
            <w:r>
              <w:rPr>
                <w:spacing w:val="-5"/>
                <w:w w:val="105"/>
                <w:sz w:val="20"/>
              </w:rPr>
              <w:t>1)</w:t>
            </w:r>
          </w:p>
        </w:tc>
        <w:tc>
          <w:tcPr>
            <w:tcW w:w="2348" w:type="dxa"/>
          </w:tcPr>
          <w:p>
            <w:pPr>
              <w:pStyle w:val="TableParagraph"/>
              <w:jc w:val="left"/>
              <w:rPr>
                <w:rFonts w:ascii="Times New Roman"/>
                <w:sz w:val="18"/>
              </w:rPr>
            </w:pPr>
          </w:p>
        </w:tc>
        <w:tc>
          <w:tcPr>
            <w:tcW w:w="2349" w:type="dxa"/>
          </w:tcPr>
          <w:p>
            <w:pPr>
              <w:pStyle w:val="TableParagraph"/>
              <w:spacing w:line="269" w:lineRule="exact" w:before="86"/>
              <w:ind w:left="150" w:right="159"/>
              <w:rPr>
                <w:rFonts w:ascii="Lucida Sans Unicode" w:hAnsi="Lucida Sans Unicode"/>
                <w:sz w:val="20"/>
              </w:rPr>
            </w:pPr>
            <w:r>
              <w:rPr>
                <w:spacing w:val="-2"/>
                <w:sz w:val="20"/>
              </w:rPr>
              <w:t>36,188,156</w:t>
            </w:r>
            <w:r>
              <w:rPr>
                <w:rFonts w:ascii="Lucida Sans Unicode" w:hAnsi="Lucida Sans Unicode"/>
                <w:spacing w:val="-2"/>
                <w:sz w:val="20"/>
                <w:vertAlign w:val="superscript"/>
              </w:rPr>
              <w:t>∗∗∗</w:t>
            </w:r>
          </w:p>
        </w:tc>
        <w:tc>
          <w:tcPr>
            <w:tcW w:w="2449" w:type="dxa"/>
          </w:tcPr>
          <w:p>
            <w:pPr>
              <w:pStyle w:val="TableParagraph"/>
              <w:jc w:val="left"/>
              <w:rPr>
                <w:rFonts w:ascii="Times New Roman"/>
                <w:sz w:val="18"/>
              </w:rPr>
            </w:pPr>
          </w:p>
        </w:tc>
        <w:tc>
          <w:tcPr>
            <w:tcW w:w="2399" w:type="dxa"/>
          </w:tcPr>
          <w:p>
            <w:pPr>
              <w:pStyle w:val="TableParagraph"/>
              <w:spacing w:line="269" w:lineRule="exact" w:before="86"/>
              <w:ind w:left="145" w:right="102"/>
              <w:rPr>
                <w:sz w:val="20"/>
              </w:rPr>
            </w:pPr>
            <w:r>
              <w:rPr>
                <w:rFonts w:ascii="Lucida Sans Unicode" w:hAnsi="Lucida Sans Unicode"/>
                <w:spacing w:val="-2"/>
                <w:sz w:val="20"/>
              </w:rPr>
              <w:t>−</w:t>
            </w:r>
            <w:r>
              <w:rPr>
                <w:spacing w:val="-2"/>
                <w:sz w:val="20"/>
              </w:rPr>
              <w:t>18,518,084</w:t>
            </w:r>
          </w:p>
        </w:tc>
      </w:tr>
      <w:tr>
        <w:trPr>
          <w:trHeight w:val="354" w:hRule="atLeast"/>
        </w:trPr>
        <w:tc>
          <w:tcPr>
            <w:tcW w:w="2449" w:type="dxa"/>
          </w:tcPr>
          <w:p>
            <w:pPr>
              <w:pStyle w:val="TableParagraph"/>
              <w:jc w:val="left"/>
              <w:rPr>
                <w:rFonts w:ascii="Times New Roman"/>
                <w:sz w:val="18"/>
              </w:rPr>
            </w:pPr>
          </w:p>
        </w:tc>
        <w:tc>
          <w:tcPr>
            <w:tcW w:w="2348" w:type="dxa"/>
          </w:tcPr>
          <w:p>
            <w:pPr>
              <w:pStyle w:val="TableParagraph"/>
              <w:jc w:val="left"/>
              <w:rPr>
                <w:rFonts w:ascii="Times New Roman"/>
                <w:sz w:val="18"/>
              </w:rPr>
            </w:pPr>
          </w:p>
        </w:tc>
        <w:tc>
          <w:tcPr>
            <w:tcW w:w="2349" w:type="dxa"/>
          </w:tcPr>
          <w:p>
            <w:pPr>
              <w:pStyle w:val="TableParagraph"/>
              <w:spacing w:line="213" w:lineRule="exact"/>
              <w:ind w:left="158" w:right="158"/>
              <w:rPr>
                <w:sz w:val="20"/>
              </w:rPr>
            </w:pPr>
            <w:r>
              <w:rPr>
                <w:spacing w:val="-2"/>
                <w:sz w:val="20"/>
              </w:rPr>
              <w:t>(8,552,945)</w:t>
            </w:r>
          </w:p>
        </w:tc>
        <w:tc>
          <w:tcPr>
            <w:tcW w:w="2449" w:type="dxa"/>
          </w:tcPr>
          <w:p>
            <w:pPr>
              <w:pStyle w:val="TableParagraph"/>
              <w:jc w:val="left"/>
              <w:rPr>
                <w:rFonts w:ascii="Times New Roman"/>
                <w:sz w:val="18"/>
              </w:rPr>
            </w:pPr>
          </w:p>
        </w:tc>
        <w:tc>
          <w:tcPr>
            <w:tcW w:w="2399" w:type="dxa"/>
          </w:tcPr>
          <w:p>
            <w:pPr>
              <w:pStyle w:val="TableParagraph"/>
              <w:spacing w:line="213" w:lineRule="exact"/>
              <w:ind w:left="145" w:right="97"/>
              <w:rPr>
                <w:sz w:val="20"/>
              </w:rPr>
            </w:pPr>
            <w:r>
              <w:rPr>
                <w:spacing w:val="-2"/>
                <w:sz w:val="20"/>
              </w:rPr>
              <w:t>(12,181,288)</w:t>
            </w:r>
          </w:p>
        </w:tc>
      </w:tr>
      <w:tr>
        <w:trPr>
          <w:trHeight w:val="362" w:hRule="atLeast"/>
        </w:trPr>
        <w:tc>
          <w:tcPr>
            <w:tcW w:w="2449" w:type="dxa"/>
          </w:tcPr>
          <w:p>
            <w:pPr>
              <w:pStyle w:val="TableParagraph"/>
              <w:spacing w:before="109"/>
              <w:ind w:left="-1"/>
              <w:jc w:val="left"/>
              <w:rPr>
                <w:sz w:val="20"/>
              </w:rPr>
            </w:pPr>
            <w:r>
              <w:rPr>
                <w:spacing w:val="-2"/>
                <w:sz w:val="20"/>
              </w:rPr>
              <w:t>Oilrents</w:t>
            </w:r>
          </w:p>
        </w:tc>
        <w:tc>
          <w:tcPr>
            <w:tcW w:w="2348" w:type="dxa"/>
          </w:tcPr>
          <w:p>
            <w:pPr>
              <w:pStyle w:val="TableParagraph"/>
              <w:jc w:val="left"/>
              <w:rPr>
                <w:rFonts w:ascii="Times New Roman"/>
                <w:sz w:val="18"/>
              </w:rPr>
            </w:pPr>
          </w:p>
        </w:tc>
        <w:tc>
          <w:tcPr>
            <w:tcW w:w="2349" w:type="dxa"/>
          </w:tcPr>
          <w:p>
            <w:pPr>
              <w:pStyle w:val="TableParagraph"/>
              <w:jc w:val="left"/>
              <w:rPr>
                <w:rFonts w:ascii="Times New Roman"/>
                <w:sz w:val="18"/>
              </w:rPr>
            </w:pPr>
          </w:p>
        </w:tc>
        <w:tc>
          <w:tcPr>
            <w:tcW w:w="2449" w:type="dxa"/>
          </w:tcPr>
          <w:p>
            <w:pPr>
              <w:pStyle w:val="TableParagraph"/>
              <w:spacing w:line="269" w:lineRule="exact" w:before="73"/>
              <w:ind w:left="147" w:right="148"/>
              <w:rPr>
                <w:sz w:val="20"/>
              </w:rPr>
            </w:pPr>
            <w:r>
              <w:rPr>
                <w:rFonts w:ascii="Lucida Sans Unicode" w:hAnsi="Lucida Sans Unicode"/>
                <w:spacing w:val="-2"/>
                <w:sz w:val="20"/>
              </w:rPr>
              <w:t>−</w:t>
            </w:r>
            <w:r>
              <w:rPr>
                <w:spacing w:val="-2"/>
                <w:sz w:val="20"/>
              </w:rPr>
              <w:t>264,725,160</w:t>
            </w:r>
          </w:p>
        </w:tc>
        <w:tc>
          <w:tcPr>
            <w:tcW w:w="2399" w:type="dxa"/>
          </w:tcPr>
          <w:p>
            <w:pPr>
              <w:pStyle w:val="TableParagraph"/>
              <w:spacing w:before="109"/>
              <w:ind w:left="145" w:right="102"/>
              <w:rPr>
                <w:sz w:val="20"/>
              </w:rPr>
            </w:pPr>
            <w:r>
              <w:rPr>
                <w:spacing w:val="-2"/>
                <w:sz w:val="20"/>
              </w:rPr>
              <w:t>28,324,143</w:t>
            </w:r>
          </w:p>
        </w:tc>
      </w:tr>
      <w:tr>
        <w:trPr>
          <w:trHeight w:val="342" w:hRule="atLeast"/>
        </w:trPr>
        <w:tc>
          <w:tcPr>
            <w:tcW w:w="2449" w:type="dxa"/>
          </w:tcPr>
          <w:p>
            <w:pPr>
              <w:pStyle w:val="TableParagraph"/>
              <w:jc w:val="left"/>
              <w:rPr>
                <w:rFonts w:ascii="Times New Roman"/>
                <w:sz w:val="18"/>
              </w:rPr>
            </w:pPr>
          </w:p>
        </w:tc>
        <w:tc>
          <w:tcPr>
            <w:tcW w:w="2348" w:type="dxa"/>
          </w:tcPr>
          <w:p>
            <w:pPr>
              <w:pStyle w:val="TableParagraph"/>
              <w:jc w:val="left"/>
              <w:rPr>
                <w:rFonts w:ascii="Times New Roman"/>
                <w:sz w:val="18"/>
              </w:rPr>
            </w:pPr>
          </w:p>
        </w:tc>
        <w:tc>
          <w:tcPr>
            <w:tcW w:w="2349" w:type="dxa"/>
          </w:tcPr>
          <w:p>
            <w:pPr>
              <w:pStyle w:val="TableParagraph"/>
              <w:jc w:val="left"/>
              <w:rPr>
                <w:rFonts w:ascii="Times New Roman"/>
                <w:sz w:val="18"/>
              </w:rPr>
            </w:pPr>
          </w:p>
        </w:tc>
        <w:tc>
          <w:tcPr>
            <w:tcW w:w="2449" w:type="dxa"/>
          </w:tcPr>
          <w:p>
            <w:pPr>
              <w:pStyle w:val="TableParagraph"/>
              <w:spacing w:line="213" w:lineRule="exact"/>
              <w:ind w:left="147" w:right="148"/>
              <w:rPr>
                <w:sz w:val="20"/>
              </w:rPr>
            </w:pPr>
            <w:r>
              <w:rPr>
                <w:spacing w:val="-2"/>
                <w:sz w:val="20"/>
              </w:rPr>
              <w:t>(261,892,763)</w:t>
            </w:r>
          </w:p>
        </w:tc>
        <w:tc>
          <w:tcPr>
            <w:tcW w:w="2399" w:type="dxa"/>
          </w:tcPr>
          <w:p>
            <w:pPr>
              <w:pStyle w:val="TableParagraph"/>
              <w:spacing w:line="213" w:lineRule="exact"/>
              <w:ind w:left="145" w:right="97"/>
              <w:rPr>
                <w:sz w:val="20"/>
              </w:rPr>
            </w:pPr>
            <w:r>
              <w:rPr>
                <w:spacing w:val="-2"/>
                <w:sz w:val="20"/>
              </w:rPr>
              <w:t>(228,550,421)</w:t>
            </w:r>
          </w:p>
        </w:tc>
      </w:tr>
      <w:tr>
        <w:trPr>
          <w:trHeight w:val="375" w:hRule="atLeast"/>
        </w:trPr>
        <w:tc>
          <w:tcPr>
            <w:tcW w:w="2449" w:type="dxa"/>
          </w:tcPr>
          <w:p>
            <w:pPr>
              <w:pStyle w:val="TableParagraph"/>
              <w:spacing w:before="122"/>
              <w:ind w:left="-1"/>
              <w:jc w:val="left"/>
              <w:rPr>
                <w:sz w:val="20"/>
              </w:rPr>
            </w:pPr>
            <w:r>
              <w:rPr>
                <w:spacing w:val="-2"/>
                <w:sz w:val="20"/>
              </w:rPr>
              <w:t>log(GDP)</w:t>
            </w:r>
          </w:p>
        </w:tc>
        <w:tc>
          <w:tcPr>
            <w:tcW w:w="2348" w:type="dxa"/>
          </w:tcPr>
          <w:p>
            <w:pPr>
              <w:pStyle w:val="TableParagraph"/>
              <w:spacing w:line="269" w:lineRule="exact" w:before="86"/>
              <w:ind w:left="151" w:right="159"/>
              <w:rPr>
                <w:rFonts w:ascii="Lucida Sans Unicode" w:hAnsi="Lucida Sans Unicode"/>
                <w:sz w:val="20"/>
              </w:rPr>
            </w:pPr>
            <w:r>
              <w:rPr>
                <w:spacing w:val="-2"/>
                <w:sz w:val="20"/>
              </w:rPr>
              <w:t>966,952,011</w:t>
            </w:r>
            <w:r>
              <w:rPr>
                <w:rFonts w:ascii="Lucida Sans Unicode" w:hAnsi="Lucida Sans Unicode"/>
                <w:spacing w:val="-2"/>
                <w:sz w:val="20"/>
                <w:vertAlign w:val="superscript"/>
              </w:rPr>
              <w:t>∗∗∗</w:t>
            </w:r>
          </w:p>
        </w:tc>
        <w:tc>
          <w:tcPr>
            <w:tcW w:w="2349" w:type="dxa"/>
          </w:tcPr>
          <w:p>
            <w:pPr>
              <w:pStyle w:val="TableParagraph"/>
              <w:spacing w:before="122"/>
              <w:ind w:left="158" w:right="159"/>
              <w:rPr>
                <w:sz w:val="20"/>
              </w:rPr>
            </w:pPr>
            <w:r>
              <w:rPr>
                <w:spacing w:val="-2"/>
                <w:sz w:val="20"/>
              </w:rPr>
              <w:t>287,898,859</w:t>
            </w:r>
          </w:p>
        </w:tc>
        <w:tc>
          <w:tcPr>
            <w:tcW w:w="2449" w:type="dxa"/>
          </w:tcPr>
          <w:p>
            <w:pPr>
              <w:pStyle w:val="TableParagraph"/>
              <w:spacing w:line="269" w:lineRule="exact" w:before="86"/>
              <w:ind w:left="147" w:right="148"/>
              <w:rPr>
                <w:sz w:val="20"/>
              </w:rPr>
            </w:pPr>
            <w:r>
              <w:rPr>
                <w:rFonts w:ascii="Lucida Sans Unicode" w:hAnsi="Lucida Sans Unicode"/>
                <w:spacing w:val="-2"/>
                <w:sz w:val="20"/>
              </w:rPr>
              <w:t>−</w:t>
            </w:r>
            <w:r>
              <w:rPr>
                <w:spacing w:val="-2"/>
                <w:sz w:val="20"/>
              </w:rPr>
              <w:t>159,851,212</w:t>
            </w:r>
          </w:p>
        </w:tc>
        <w:tc>
          <w:tcPr>
            <w:tcW w:w="2399" w:type="dxa"/>
          </w:tcPr>
          <w:p>
            <w:pPr>
              <w:pStyle w:val="TableParagraph"/>
              <w:spacing w:line="269" w:lineRule="exact" w:before="86"/>
              <w:ind w:left="145" w:right="102"/>
              <w:rPr>
                <w:sz w:val="20"/>
              </w:rPr>
            </w:pPr>
            <w:r>
              <w:rPr>
                <w:rFonts w:ascii="Lucida Sans Unicode" w:hAnsi="Lucida Sans Unicode"/>
                <w:spacing w:val="-2"/>
                <w:sz w:val="20"/>
              </w:rPr>
              <w:t>−</w:t>
            </w:r>
            <w:r>
              <w:rPr>
                <w:spacing w:val="-2"/>
                <w:sz w:val="20"/>
              </w:rPr>
              <w:t>45,925,586</w:t>
            </w:r>
          </w:p>
        </w:tc>
      </w:tr>
      <w:tr>
        <w:trPr>
          <w:trHeight w:val="342" w:hRule="atLeast"/>
        </w:trPr>
        <w:tc>
          <w:tcPr>
            <w:tcW w:w="2449" w:type="dxa"/>
          </w:tcPr>
          <w:p>
            <w:pPr>
              <w:pStyle w:val="TableParagraph"/>
              <w:jc w:val="left"/>
              <w:rPr>
                <w:rFonts w:ascii="Times New Roman"/>
                <w:sz w:val="18"/>
              </w:rPr>
            </w:pPr>
          </w:p>
        </w:tc>
        <w:tc>
          <w:tcPr>
            <w:tcW w:w="2348" w:type="dxa"/>
          </w:tcPr>
          <w:p>
            <w:pPr>
              <w:pStyle w:val="TableParagraph"/>
              <w:spacing w:line="213" w:lineRule="exact"/>
              <w:ind w:left="158" w:right="157"/>
              <w:rPr>
                <w:sz w:val="20"/>
              </w:rPr>
            </w:pPr>
            <w:r>
              <w:rPr>
                <w:spacing w:val="-2"/>
                <w:sz w:val="20"/>
              </w:rPr>
              <w:t>(322,459,424)</w:t>
            </w:r>
          </w:p>
        </w:tc>
        <w:tc>
          <w:tcPr>
            <w:tcW w:w="2349" w:type="dxa"/>
          </w:tcPr>
          <w:p>
            <w:pPr>
              <w:pStyle w:val="TableParagraph"/>
              <w:spacing w:line="213" w:lineRule="exact"/>
              <w:ind w:left="158" w:right="155"/>
              <w:rPr>
                <w:sz w:val="20"/>
              </w:rPr>
            </w:pPr>
            <w:r>
              <w:rPr>
                <w:spacing w:val="-2"/>
                <w:sz w:val="20"/>
              </w:rPr>
              <w:t>(308,713,578)</w:t>
            </w:r>
          </w:p>
        </w:tc>
        <w:tc>
          <w:tcPr>
            <w:tcW w:w="2449" w:type="dxa"/>
          </w:tcPr>
          <w:p>
            <w:pPr>
              <w:pStyle w:val="TableParagraph"/>
              <w:spacing w:line="213" w:lineRule="exact"/>
              <w:ind w:left="147" w:right="143"/>
              <w:rPr>
                <w:sz w:val="20"/>
              </w:rPr>
            </w:pPr>
            <w:r>
              <w:rPr>
                <w:spacing w:val="-2"/>
                <w:sz w:val="20"/>
              </w:rPr>
              <w:t>(624,665,693)</w:t>
            </w:r>
          </w:p>
        </w:tc>
        <w:tc>
          <w:tcPr>
            <w:tcW w:w="2399" w:type="dxa"/>
          </w:tcPr>
          <w:p>
            <w:pPr>
              <w:pStyle w:val="TableParagraph"/>
              <w:spacing w:line="213" w:lineRule="exact"/>
              <w:ind w:left="145" w:right="90"/>
              <w:rPr>
                <w:sz w:val="20"/>
              </w:rPr>
            </w:pPr>
            <w:r>
              <w:rPr>
                <w:spacing w:val="-2"/>
                <w:sz w:val="20"/>
              </w:rPr>
              <w:t>(617,583,728)</w:t>
            </w:r>
          </w:p>
        </w:tc>
      </w:tr>
      <w:tr>
        <w:trPr>
          <w:trHeight w:val="375" w:hRule="atLeast"/>
        </w:trPr>
        <w:tc>
          <w:tcPr>
            <w:tcW w:w="2449" w:type="dxa"/>
          </w:tcPr>
          <w:p>
            <w:pPr>
              <w:pStyle w:val="TableParagraph"/>
              <w:spacing w:before="122"/>
              <w:ind w:left="-1"/>
              <w:jc w:val="left"/>
              <w:rPr>
                <w:sz w:val="20"/>
              </w:rPr>
            </w:pPr>
            <w:r>
              <w:rPr>
                <w:sz w:val="20"/>
              </w:rPr>
              <w:t>Total</w:t>
            </w:r>
            <w:r>
              <w:rPr>
                <w:spacing w:val="17"/>
                <w:sz w:val="20"/>
              </w:rPr>
              <w:t> </w:t>
            </w:r>
            <w:r>
              <w:rPr>
                <w:spacing w:val="-2"/>
                <w:sz w:val="20"/>
              </w:rPr>
              <w:t>reserves</w:t>
            </w:r>
          </w:p>
        </w:tc>
        <w:tc>
          <w:tcPr>
            <w:tcW w:w="2348" w:type="dxa"/>
          </w:tcPr>
          <w:p>
            <w:pPr>
              <w:pStyle w:val="TableParagraph"/>
              <w:spacing w:line="269" w:lineRule="exact" w:before="86"/>
              <w:ind w:left="151" w:right="159"/>
              <w:rPr>
                <w:rFonts w:ascii="Lucida Sans Unicode" w:hAnsi="Lucida Sans Unicode"/>
                <w:sz w:val="20"/>
              </w:rPr>
            </w:pPr>
            <w:r>
              <w:rPr>
                <w:spacing w:val="-2"/>
                <w:w w:val="95"/>
                <w:sz w:val="20"/>
              </w:rPr>
              <w:t>369,389,520</w:t>
            </w:r>
            <w:r>
              <w:rPr>
                <w:rFonts w:ascii="Lucida Sans Unicode" w:hAnsi="Lucida Sans Unicode"/>
                <w:spacing w:val="-2"/>
                <w:w w:val="95"/>
                <w:sz w:val="20"/>
                <w:vertAlign w:val="superscript"/>
              </w:rPr>
              <w:t>∗∗∗</w:t>
            </w:r>
          </w:p>
        </w:tc>
        <w:tc>
          <w:tcPr>
            <w:tcW w:w="2349" w:type="dxa"/>
          </w:tcPr>
          <w:p>
            <w:pPr>
              <w:pStyle w:val="TableParagraph"/>
              <w:spacing w:line="269" w:lineRule="exact" w:before="86"/>
              <w:ind w:left="150" w:right="159"/>
              <w:rPr>
                <w:rFonts w:ascii="Lucida Sans Unicode" w:hAnsi="Lucida Sans Unicode"/>
                <w:sz w:val="20"/>
              </w:rPr>
            </w:pPr>
            <w:r>
              <w:rPr>
                <w:spacing w:val="-2"/>
                <w:sz w:val="20"/>
              </w:rPr>
              <w:t>283,032,140</w:t>
            </w:r>
            <w:r>
              <w:rPr>
                <w:rFonts w:ascii="Lucida Sans Unicode" w:hAnsi="Lucida Sans Unicode"/>
                <w:spacing w:val="-2"/>
                <w:sz w:val="20"/>
                <w:vertAlign w:val="superscript"/>
              </w:rPr>
              <w:t>∗∗</w:t>
            </w:r>
          </w:p>
        </w:tc>
        <w:tc>
          <w:tcPr>
            <w:tcW w:w="2449" w:type="dxa"/>
          </w:tcPr>
          <w:p>
            <w:pPr>
              <w:pStyle w:val="TableParagraph"/>
              <w:spacing w:line="269" w:lineRule="exact" w:before="86"/>
              <w:ind w:left="137" w:right="148"/>
              <w:rPr>
                <w:rFonts w:ascii="Lucida Sans Unicode" w:hAnsi="Lucida Sans Unicode"/>
                <w:sz w:val="20"/>
              </w:rPr>
            </w:pPr>
            <w:r>
              <w:rPr>
                <w:spacing w:val="-2"/>
                <w:sz w:val="20"/>
              </w:rPr>
              <w:t>11,039,391</w:t>
            </w:r>
            <w:r>
              <w:rPr>
                <w:rFonts w:ascii="Lucida Sans Unicode" w:hAnsi="Lucida Sans Unicode"/>
                <w:spacing w:val="-2"/>
                <w:sz w:val="20"/>
                <w:vertAlign w:val="superscript"/>
              </w:rPr>
              <w:t>∗∗∗</w:t>
            </w:r>
          </w:p>
        </w:tc>
        <w:tc>
          <w:tcPr>
            <w:tcW w:w="2399" w:type="dxa"/>
          </w:tcPr>
          <w:p>
            <w:pPr>
              <w:pStyle w:val="TableParagraph"/>
              <w:spacing w:line="269" w:lineRule="exact" w:before="86"/>
              <w:ind w:left="136" w:right="102"/>
              <w:rPr>
                <w:rFonts w:ascii="Lucida Sans Unicode" w:hAnsi="Lucida Sans Unicode"/>
                <w:sz w:val="20"/>
              </w:rPr>
            </w:pPr>
            <w:r>
              <w:rPr>
                <w:spacing w:val="-2"/>
                <w:sz w:val="20"/>
              </w:rPr>
              <w:t>11,038,959</w:t>
            </w:r>
            <w:r>
              <w:rPr>
                <w:rFonts w:ascii="Lucida Sans Unicode" w:hAnsi="Lucida Sans Unicode"/>
                <w:spacing w:val="-2"/>
                <w:sz w:val="20"/>
                <w:vertAlign w:val="superscript"/>
              </w:rPr>
              <w:t>∗∗∗</w:t>
            </w:r>
          </w:p>
        </w:tc>
      </w:tr>
      <w:tr>
        <w:trPr>
          <w:trHeight w:val="354" w:hRule="atLeast"/>
        </w:trPr>
        <w:tc>
          <w:tcPr>
            <w:tcW w:w="2449" w:type="dxa"/>
          </w:tcPr>
          <w:p>
            <w:pPr>
              <w:pStyle w:val="TableParagraph"/>
              <w:jc w:val="left"/>
              <w:rPr>
                <w:rFonts w:ascii="Times New Roman"/>
                <w:sz w:val="18"/>
              </w:rPr>
            </w:pPr>
          </w:p>
        </w:tc>
        <w:tc>
          <w:tcPr>
            <w:tcW w:w="2348" w:type="dxa"/>
          </w:tcPr>
          <w:p>
            <w:pPr>
              <w:pStyle w:val="TableParagraph"/>
              <w:spacing w:line="213" w:lineRule="exact"/>
              <w:ind w:left="158" w:right="157"/>
              <w:rPr>
                <w:sz w:val="20"/>
              </w:rPr>
            </w:pPr>
            <w:r>
              <w:rPr>
                <w:spacing w:val="-2"/>
                <w:sz w:val="20"/>
              </w:rPr>
              <w:t>(130,978,480)</w:t>
            </w:r>
          </w:p>
        </w:tc>
        <w:tc>
          <w:tcPr>
            <w:tcW w:w="2349" w:type="dxa"/>
          </w:tcPr>
          <w:p>
            <w:pPr>
              <w:pStyle w:val="TableParagraph"/>
              <w:spacing w:line="213" w:lineRule="exact"/>
              <w:ind w:left="158" w:right="155"/>
              <w:rPr>
                <w:sz w:val="20"/>
              </w:rPr>
            </w:pPr>
            <w:r>
              <w:rPr>
                <w:spacing w:val="-2"/>
                <w:sz w:val="20"/>
              </w:rPr>
              <w:t>(122,189,741)</w:t>
            </w:r>
          </w:p>
        </w:tc>
        <w:tc>
          <w:tcPr>
            <w:tcW w:w="2449" w:type="dxa"/>
          </w:tcPr>
          <w:p>
            <w:pPr>
              <w:pStyle w:val="TableParagraph"/>
              <w:spacing w:line="213" w:lineRule="exact"/>
              <w:ind w:left="147" w:right="143"/>
              <w:rPr>
                <w:sz w:val="20"/>
              </w:rPr>
            </w:pPr>
            <w:r>
              <w:rPr>
                <w:spacing w:val="-2"/>
                <w:sz w:val="20"/>
              </w:rPr>
              <w:t>(364,678)</w:t>
            </w:r>
          </w:p>
        </w:tc>
        <w:tc>
          <w:tcPr>
            <w:tcW w:w="2399" w:type="dxa"/>
          </w:tcPr>
          <w:p>
            <w:pPr>
              <w:pStyle w:val="TableParagraph"/>
              <w:spacing w:line="213" w:lineRule="exact"/>
              <w:ind w:left="145" w:right="91"/>
              <w:rPr>
                <w:sz w:val="20"/>
              </w:rPr>
            </w:pPr>
            <w:r>
              <w:rPr>
                <w:spacing w:val="-2"/>
                <w:sz w:val="20"/>
              </w:rPr>
              <w:t>(368,679)</w:t>
            </w:r>
          </w:p>
        </w:tc>
      </w:tr>
      <w:tr>
        <w:trPr>
          <w:trHeight w:val="362" w:hRule="atLeast"/>
        </w:trPr>
        <w:tc>
          <w:tcPr>
            <w:tcW w:w="2449" w:type="dxa"/>
          </w:tcPr>
          <w:p>
            <w:pPr>
              <w:pStyle w:val="TableParagraph"/>
              <w:spacing w:before="109"/>
              <w:ind w:left="-1"/>
              <w:jc w:val="left"/>
              <w:rPr>
                <w:sz w:val="20"/>
              </w:rPr>
            </w:pPr>
            <w:r>
              <w:rPr>
                <w:spacing w:val="-2"/>
                <w:sz w:val="20"/>
              </w:rPr>
              <w:t>Central government </w:t>
            </w:r>
            <w:r>
              <w:rPr>
                <w:spacing w:val="-4"/>
                <w:sz w:val="20"/>
              </w:rPr>
              <w:t>debt</w:t>
            </w:r>
          </w:p>
        </w:tc>
        <w:tc>
          <w:tcPr>
            <w:tcW w:w="2348" w:type="dxa"/>
          </w:tcPr>
          <w:p>
            <w:pPr>
              <w:pStyle w:val="TableParagraph"/>
              <w:jc w:val="left"/>
              <w:rPr>
                <w:rFonts w:ascii="Times New Roman"/>
                <w:sz w:val="18"/>
              </w:rPr>
            </w:pPr>
          </w:p>
        </w:tc>
        <w:tc>
          <w:tcPr>
            <w:tcW w:w="2349" w:type="dxa"/>
          </w:tcPr>
          <w:p>
            <w:pPr>
              <w:pStyle w:val="TableParagraph"/>
              <w:jc w:val="left"/>
              <w:rPr>
                <w:rFonts w:ascii="Times New Roman"/>
                <w:sz w:val="18"/>
              </w:rPr>
            </w:pPr>
          </w:p>
        </w:tc>
        <w:tc>
          <w:tcPr>
            <w:tcW w:w="2449" w:type="dxa"/>
          </w:tcPr>
          <w:p>
            <w:pPr>
              <w:pStyle w:val="TableParagraph"/>
              <w:spacing w:line="269" w:lineRule="exact" w:before="73"/>
              <w:ind w:left="147" w:right="148"/>
              <w:rPr>
                <w:sz w:val="20"/>
              </w:rPr>
            </w:pPr>
            <w:r>
              <w:rPr>
                <w:rFonts w:ascii="Lucida Sans Unicode" w:hAnsi="Lucida Sans Unicode"/>
                <w:spacing w:val="-2"/>
                <w:sz w:val="20"/>
              </w:rPr>
              <w:t>−</w:t>
            </w:r>
            <w:r>
              <w:rPr>
                <w:spacing w:val="-2"/>
                <w:sz w:val="20"/>
              </w:rPr>
              <w:t>3,802,557</w:t>
            </w:r>
          </w:p>
        </w:tc>
        <w:tc>
          <w:tcPr>
            <w:tcW w:w="2399" w:type="dxa"/>
          </w:tcPr>
          <w:p>
            <w:pPr>
              <w:pStyle w:val="TableParagraph"/>
              <w:spacing w:before="109"/>
              <w:ind w:left="145" w:right="102"/>
              <w:rPr>
                <w:sz w:val="20"/>
              </w:rPr>
            </w:pPr>
            <w:r>
              <w:rPr>
                <w:spacing w:val="-2"/>
                <w:sz w:val="20"/>
              </w:rPr>
              <w:t>2,979,000</w:t>
            </w:r>
          </w:p>
        </w:tc>
      </w:tr>
      <w:tr>
        <w:trPr>
          <w:trHeight w:val="479" w:hRule="atLeast"/>
        </w:trPr>
        <w:tc>
          <w:tcPr>
            <w:tcW w:w="2449" w:type="dxa"/>
            <w:tcBorders>
              <w:bottom w:val="single" w:sz="4" w:space="0" w:color="000000"/>
            </w:tcBorders>
          </w:tcPr>
          <w:p>
            <w:pPr>
              <w:pStyle w:val="TableParagraph"/>
              <w:jc w:val="left"/>
              <w:rPr>
                <w:rFonts w:ascii="Times New Roman"/>
                <w:sz w:val="18"/>
              </w:rPr>
            </w:pPr>
          </w:p>
        </w:tc>
        <w:tc>
          <w:tcPr>
            <w:tcW w:w="2348" w:type="dxa"/>
            <w:tcBorders>
              <w:bottom w:val="single" w:sz="4" w:space="0" w:color="000000"/>
            </w:tcBorders>
          </w:tcPr>
          <w:p>
            <w:pPr>
              <w:pStyle w:val="TableParagraph"/>
              <w:jc w:val="left"/>
              <w:rPr>
                <w:rFonts w:ascii="Times New Roman"/>
                <w:sz w:val="18"/>
              </w:rPr>
            </w:pPr>
          </w:p>
        </w:tc>
        <w:tc>
          <w:tcPr>
            <w:tcW w:w="2349" w:type="dxa"/>
            <w:tcBorders>
              <w:bottom w:val="single" w:sz="4" w:space="0" w:color="000000"/>
            </w:tcBorders>
          </w:tcPr>
          <w:p>
            <w:pPr>
              <w:pStyle w:val="TableParagraph"/>
              <w:jc w:val="left"/>
              <w:rPr>
                <w:rFonts w:ascii="Times New Roman"/>
                <w:sz w:val="18"/>
              </w:rPr>
            </w:pPr>
          </w:p>
        </w:tc>
        <w:tc>
          <w:tcPr>
            <w:tcW w:w="2449" w:type="dxa"/>
            <w:tcBorders>
              <w:bottom w:val="single" w:sz="4" w:space="0" w:color="000000"/>
            </w:tcBorders>
          </w:tcPr>
          <w:p>
            <w:pPr>
              <w:pStyle w:val="TableParagraph"/>
              <w:spacing w:line="213" w:lineRule="exact"/>
              <w:ind w:left="147" w:right="148"/>
              <w:rPr>
                <w:sz w:val="20"/>
              </w:rPr>
            </w:pPr>
            <w:r>
              <w:rPr>
                <w:spacing w:val="-2"/>
                <w:sz w:val="20"/>
              </w:rPr>
              <w:t>(10,384,174)</w:t>
            </w:r>
          </w:p>
        </w:tc>
        <w:tc>
          <w:tcPr>
            <w:tcW w:w="2399" w:type="dxa"/>
            <w:tcBorders>
              <w:bottom w:val="single" w:sz="4" w:space="0" w:color="000000"/>
            </w:tcBorders>
          </w:tcPr>
          <w:p>
            <w:pPr>
              <w:pStyle w:val="TableParagraph"/>
              <w:spacing w:line="213" w:lineRule="exact"/>
              <w:ind w:left="145" w:right="97"/>
              <w:rPr>
                <w:sz w:val="20"/>
              </w:rPr>
            </w:pPr>
            <w:r>
              <w:rPr>
                <w:spacing w:val="-2"/>
                <w:sz w:val="20"/>
              </w:rPr>
              <w:t>(10,232,084)</w:t>
            </w:r>
          </w:p>
        </w:tc>
      </w:tr>
      <w:tr>
        <w:trPr>
          <w:trHeight w:val="307" w:hRule="atLeast"/>
        </w:trPr>
        <w:tc>
          <w:tcPr>
            <w:tcW w:w="2449" w:type="dxa"/>
            <w:tcBorders>
              <w:top w:val="single" w:sz="4" w:space="0" w:color="000000"/>
            </w:tcBorders>
          </w:tcPr>
          <w:p>
            <w:pPr>
              <w:pStyle w:val="TableParagraph"/>
              <w:spacing w:line="219" w:lineRule="exact" w:before="67"/>
              <w:jc w:val="left"/>
              <w:rPr>
                <w:sz w:val="20"/>
              </w:rPr>
            </w:pPr>
            <w:r>
              <w:rPr>
                <w:spacing w:val="-2"/>
                <w:sz w:val="20"/>
              </w:rPr>
              <w:t>Observations</w:t>
            </w:r>
          </w:p>
        </w:tc>
        <w:tc>
          <w:tcPr>
            <w:tcW w:w="2348" w:type="dxa"/>
            <w:tcBorders>
              <w:top w:val="single" w:sz="4" w:space="0" w:color="000000"/>
            </w:tcBorders>
          </w:tcPr>
          <w:p>
            <w:pPr>
              <w:pStyle w:val="TableParagraph"/>
              <w:spacing w:line="219" w:lineRule="exact" w:before="67"/>
              <w:ind w:left="158" w:right="159"/>
              <w:rPr>
                <w:sz w:val="20"/>
              </w:rPr>
            </w:pPr>
            <w:r>
              <w:rPr>
                <w:spacing w:val="-5"/>
                <w:sz w:val="20"/>
              </w:rPr>
              <w:t>154</w:t>
            </w:r>
          </w:p>
        </w:tc>
        <w:tc>
          <w:tcPr>
            <w:tcW w:w="2349" w:type="dxa"/>
            <w:tcBorders>
              <w:top w:val="single" w:sz="4" w:space="0" w:color="000000"/>
            </w:tcBorders>
          </w:tcPr>
          <w:p>
            <w:pPr>
              <w:pStyle w:val="TableParagraph"/>
              <w:spacing w:line="219" w:lineRule="exact" w:before="67"/>
              <w:ind w:left="158" w:right="159"/>
              <w:rPr>
                <w:sz w:val="20"/>
              </w:rPr>
            </w:pPr>
            <w:r>
              <w:rPr>
                <w:spacing w:val="-5"/>
                <w:sz w:val="20"/>
              </w:rPr>
              <w:t>154</w:t>
            </w:r>
          </w:p>
        </w:tc>
        <w:tc>
          <w:tcPr>
            <w:tcW w:w="2449" w:type="dxa"/>
            <w:tcBorders>
              <w:top w:val="single" w:sz="4" w:space="0" w:color="000000"/>
            </w:tcBorders>
          </w:tcPr>
          <w:p>
            <w:pPr>
              <w:pStyle w:val="TableParagraph"/>
              <w:spacing w:line="219" w:lineRule="exact" w:before="67"/>
              <w:ind w:left="147" w:right="148"/>
              <w:rPr>
                <w:sz w:val="20"/>
              </w:rPr>
            </w:pPr>
            <w:r>
              <w:rPr>
                <w:spacing w:val="-5"/>
                <w:w w:val="95"/>
                <w:sz w:val="20"/>
              </w:rPr>
              <w:t>384</w:t>
            </w:r>
          </w:p>
        </w:tc>
        <w:tc>
          <w:tcPr>
            <w:tcW w:w="2399" w:type="dxa"/>
            <w:tcBorders>
              <w:top w:val="single" w:sz="4" w:space="0" w:color="000000"/>
            </w:tcBorders>
          </w:tcPr>
          <w:p>
            <w:pPr>
              <w:pStyle w:val="TableParagraph"/>
              <w:spacing w:line="219" w:lineRule="exact" w:before="67"/>
              <w:ind w:left="145" w:right="102"/>
              <w:rPr>
                <w:sz w:val="20"/>
              </w:rPr>
            </w:pPr>
            <w:r>
              <w:rPr>
                <w:spacing w:val="-5"/>
                <w:sz w:val="20"/>
              </w:rPr>
              <w:t>373</w:t>
            </w:r>
          </w:p>
        </w:tc>
      </w:tr>
      <w:tr>
        <w:trPr>
          <w:trHeight w:val="282" w:hRule="atLeast"/>
        </w:trPr>
        <w:tc>
          <w:tcPr>
            <w:tcW w:w="2449" w:type="dxa"/>
          </w:tcPr>
          <w:p>
            <w:pPr>
              <w:pStyle w:val="TableParagraph"/>
              <w:spacing w:line="144" w:lineRule="auto" w:before="15"/>
              <w:jc w:val="left"/>
              <w:rPr>
                <w:rFonts w:ascii="Century Gothic"/>
                <w:sz w:val="14"/>
              </w:rPr>
            </w:pPr>
            <w:r>
              <w:rPr>
                <w:spacing w:val="-5"/>
                <w:w w:val="105"/>
                <w:position w:val="-6"/>
                <w:sz w:val="20"/>
              </w:rPr>
              <w:t>R</w:t>
            </w:r>
            <w:r>
              <w:rPr>
                <w:rFonts w:ascii="Century Gothic"/>
                <w:spacing w:val="-5"/>
                <w:w w:val="105"/>
                <w:sz w:val="14"/>
              </w:rPr>
              <w:t>2</w:t>
            </w:r>
          </w:p>
        </w:tc>
        <w:tc>
          <w:tcPr>
            <w:tcW w:w="2348" w:type="dxa"/>
          </w:tcPr>
          <w:p>
            <w:pPr>
              <w:pStyle w:val="TableParagraph"/>
              <w:spacing w:line="227" w:lineRule="exact"/>
              <w:ind w:left="158" w:right="158"/>
              <w:rPr>
                <w:sz w:val="20"/>
              </w:rPr>
            </w:pPr>
            <w:r>
              <w:rPr>
                <w:spacing w:val="-2"/>
                <w:sz w:val="20"/>
              </w:rPr>
              <w:t>0.431</w:t>
            </w:r>
          </w:p>
        </w:tc>
        <w:tc>
          <w:tcPr>
            <w:tcW w:w="2349" w:type="dxa"/>
          </w:tcPr>
          <w:p>
            <w:pPr>
              <w:pStyle w:val="TableParagraph"/>
              <w:spacing w:line="227" w:lineRule="exact"/>
              <w:ind w:left="158" w:right="159"/>
              <w:rPr>
                <w:sz w:val="20"/>
              </w:rPr>
            </w:pPr>
            <w:r>
              <w:rPr>
                <w:spacing w:val="-2"/>
                <w:w w:val="95"/>
                <w:sz w:val="20"/>
              </w:rPr>
              <w:t>0.494</w:t>
            </w:r>
          </w:p>
        </w:tc>
        <w:tc>
          <w:tcPr>
            <w:tcW w:w="2449" w:type="dxa"/>
          </w:tcPr>
          <w:p>
            <w:pPr>
              <w:pStyle w:val="TableParagraph"/>
              <w:spacing w:line="227" w:lineRule="exact"/>
              <w:ind w:left="146" w:right="148"/>
              <w:rPr>
                <w:sz w:val="20"/>
              </w:rPr>
            </w:pPr>
            <w:r>
              <w:rPr>
                <w:spacing w:val="-2"/>
                <w:w w:val="95"/>
                <w:sz w:val="20"/>
              </w:rPr>
              <w:t>0.863</w:t>
            </w:r>
          </w:p>
        </w:tc>
        <w:tc>
          <w:tcPr>
            <w:tcW w:w="2399" w:type="dxa"/>
          </w:tcPr>
          <w:p>
            <w:pPr>
              <w:pStyle w:val="TableParagraph"/>
              <w:spacing w:line="227" w:lineRule="exact"/>
              <w:ind w:left="144" w:right="102"/>
              <w:rPr>
                <w:sz w:val="20"/>
              </w:rPr>
            </w:pPr>
            <w:r>
              <w:rPr>
                <w:spacing w:val="-2"/>
                <w:w w:val="95"/>
                <w:sz w:val="20"/>
              </w:rPr>
              <w:t>0.860</w:t>
            </w:r>
          </w:p>
        </w:tc>
      </w:tr>
      <w:tr>
        <w:trPr>
          <w:trHeight w:val="192" w:hRule="atLeast"/>
        </w:trPr>
        <w:tc>
          <w:tcPr>
            <w:tcW w:w="2449" w:type="dxa"/>
          </w:tcPr>
          <w:p>
            <w:pPr>
              <w:pStyle w:val="TableParagraph"/>
              <w:spacing w:line="173" w:lineRule="exact"/>
              <w:ind w:left="-1"/>
              <w:jc w:val="left"/>
              <w:rPr>
                <w:rFonts w:ascii="Century Gothic"/>
                <w:sz w:val="20"/>
              </w:rPr>
            </w:pPr>
            <w:r>
              <w:rPr>
                <w:sz w:val="20"/>
              </w:rPr>
              <w:t>Adjusted</w:t>
            </w:r>
            <w:r>
              <w:rPr>
                <w:spacing w:val="10"/>
                <w:sz w:val="20"/>
              </w:rPr>
              <w:t> </w:t>
            </w:r>
            <w:r>
              <w:rPr>
                <w:spacing w:val="-5"/>
                <w:sz w:val="20"/>
              </w:rPr>
              <w:t>R</w:t>
            </w:r>
            <w:r>
              <w:rPr>
                <w:rFonts w:ascii="Century Gothic"/>
                <w:spacing w:val="-5"/>
                <w:sz w:val="20"/>
                <w:vertAlign w:val="superscript"/>
              </w:rPr>
              <w:t>2</w:t>
            </w:r>
          </w:p>
        </w:tc>
        <w:tc>
          <w:tcPr>
            <w:tcW w:w="2348" w:type="dxa"/>
          </w:tcPr>
          <w:p>
            <w:pPr>
              <w:pStyle w:val="TableParagraph"/>
              <w:spacing w:line="173" w:lineRule="exact"/>
              <w:ind w:left="158" w:right="158"/>
              <w:rPr>
                <w:sz w:val="20"/>
              </w:rPr>
            </w:pPr>
            <w:r>
              <w:rPr>
                <w:spacing w:val="-2"/>
                <w:sz w:val="20"/>
              </w:rPr>
              <w:t>0.392</w:t>
            </w:r>
          </w:p>
        </w:tc>
        <w:tc>
          <w:tcPr>
            <w:tcW w:w="2349" w:type="dxa"/>
          </w:tcPr>
          <w:p>
            <w:pPr>
              <w:pStyle w:val="TableParagraph"/>
              <w:spacing w:line="173" w:lineRule="exact"/>
              <w:ind w:left="158" w:right="159"/>
              <w:rPr>
                <w:sz w:val="20"/>
              </w:rPr>
            </w:pPr>
            <w:r>
              <w:rPr>
                <w:spacing w:val="-2"/>
                <w:sz w:val="20"/>
              </w:rPr>
              <w:t>0.458</w:t>
            </w:r>
          </w:p>
        </w:tc>
        <w:tc>
          <w:tcPr>
            <w:tcW w:w="2449" w:type="dxa"/>
          </w:tcPr>
          <w:p>
            <w:pPr>
              <w:pStyle w:val="TableParagraph"/>
              <w:spacing w:line="173" w:lineRule="exact"/>
              <w:ind w:left="146" w:right="148"/>
              <w:rPr>
                <w:sz w:val="20"/>
              </w:rPr>
            </w:pPr>
            <w:r>
              <w:rPr>
                <w:spacing w:val="-2"/>
                <w:sz w:val="20"/>
              </w:rPr>
              <w:t>0.852</w:t>
            </w:r>
          </w:p>
        </w:tc>
        <w:tc>
          <w:tcPr>
            <w:tcW w:w="2399" w:type="dxa"/>
          </w:tcPr>
          <w:p>
            <w:pPr>
              <w:pStyle w:val="TableParagraph"/>
              <w:spacing w:line="173" w:lineRule="exact"/>
              <w:ind w:left="144" w:right="102"/>
              <w:rPr>
                <w:sz w:val="20"/>
              </w:rPr>
            </w:pPr>
            <w:r>
              <w:rPr>
                <w:spacing w:val="-2"/>
                <w:w w:val="95"/>
                <w:sz w:val="20"/>
              </w:rPr>
              <w:t>0.849</w:t>
            </w:r>
          </w:p>
        </w:tc>
      </w:tr>
      <w:tr>
        <w:trPr>
          <w:trHeight w:val="266" w:hRule="atLeast"/>
        </w:trPr>
        <w:tc>
          <w:tcPr>
            <w:tcW w:w="2449" w:type="dxa"/>
            <w:tcBorders>
              <w:bottom w:val="double" w:sz="4" w:space="0" w:color="000000"/>
            </w:tcBorders>
          </w:tcPr>
          <w:p>
            <w:pPr>
              <w:pStyle w:val="TableParagraph"/>
              <w:spacing w:before="2"/>
              <w:ind w:left="-1"/>
              <w:jc w:val="left"/>
              <w:rPr>
                <w:sz w:val="20"/>
              </w:rPr>
            </w:pPr>
            <w:r>
              <w:rPr>
                <w:w w:val="105"/>
                <w:sz w:val="20"/>
              </w:rPr>
              <w:t>F</w:t>
            </w:r>
            <w:r>
              <w:rPr>
                <w:spacing w:val="19"/>
                <w:w w:val="105"/>
                <w:sz w:val="20"/>
              </w:rPr>
              <w:t> </w:t>
            </w:r>
            <w:r>
              <w:rPr>
                <w:spacing w:val="-2"/>
                <w:w w:val="105"/>
                <w:sz w:val="20"/>
              </w:rPr>
              <w:t>Statistic</w:t>
            </w:r>
          </w:p>
        </w:tc>
        <w:tc>
          <w:tcPr>
            <w:tcW w:w="2348" w:type="dxa"/>
            <w:tcBorders>
              <w:bottom w:val="double" w:sz="4" w:space="0" w:color="000000"/>
            </w:tcBorders>
          </w:tcPr>
          <w:p>
            <w:pPr>
              <w:pStyle w:val="TableParagraph"/>
              <w:spacing w:line="246" w:lineRule="exact"/>
              <w:ind w:left="158" w:right="159"/>
              <w:rPr>
                <w:sz w:val="20"/>
              </w:rPr>
            </w:pPr>
            <w:r>
              <w:rPr>
                <w:sz w:val="20"/>
              </w:rPr>
              <w:t>36.171</w:t>
            </w:r>
            <w:r>
              <w:rPr>
                <w:rFonts w:ascii="Lucida Sans Unicode" w:hAnsi="Lucida Sans Unicode"/>
                <w:sz w:val="20"/>
                <w:vertAlign w:val="superscript"/>
              </w:rPr>
              <w:t>∗∗∗</w:t>
            </w:r>
            <w:r>
              <w:rPr>
                <w:rFonts w:ascii="Lucida Sans Unicode" w:hAnsi="Lucida Sans Unicode"/>
                <w:spacing w:val="-7"/>
                <w:sz w:val="20"/>
                <w:vertAlign w:val="baseline"/>
              </w:rPr>
              <w:t> </w:t>
            </w:r>
            <w:r>
              <w:rPr>
                <w:sz w:val="20"/>
                <w:vertAlign w:val="baseline"/>
              </w:rPr>
              <w:t>(df</w:t>
            </w:r>
            <w:r>
              <w:rPr>
                <w:spacing w:val="2"/>
                <w:sz w:val="20"/>
                <w:vertAlign w:val="baseline"/>
              </w:rPr>
              <w:t> </w:t>
            </w:r>
            <w:r>
              <w:rPr>
                <w:sz w:val="20"/>
                <w:vertAlign w:val="baseline"/>
              </w:rPr>
              <w:t>=</w:t>
            </w:r>
            <w:r>
              <w:rPr>
                <w:spacing w:val="1"/>
                <w:sz w:val="20"/>
                <w:vertAlign w:val="baseline"/>
              </w:rPr>
              <w:t> </w:t>
            </w:r>
            <w:r>
              <w:rPr>
                <w:sz w:val="20"/>
                <w:vertAlign w:val="baseline"/>
              </w:rPr>
              <w:t>3;</w:t>
            </w:r>
            <w:r>
              <w:rPr>
                <w:spacing w:val="1"/>
                <w:sz w:val="20"/>
                <w:vertAlign w:val="baseline"/>
              </w:rPr>
              <w:t> </w:t>
            </w:r>
            <w:r>
              <w:rPr>
                <w:spacing w:val="-4"/>
                <w:sz w:val="20"/>
                <w:vertAlign w:val="baseline"/>
              </w:rPr>
              <w:t>143)</w:t>
            </w:r>
          </w:p>
        </w:tc>
        <w:tc>
          <w:tcPr>
            <w:tcW w:w="2349" w:type="dxa"/>
            <w:tcBorders>
              <w:bottom w:val="double" w:sz="4" w:space="0" w:color="000000"/>
            </w:tcBorders>
          </w:tcPr>
          <w:p>
            <w:pPr>
              <w:pStyle w:val="TableParagraph"/>
              <w:spacing w:line="246" w:lineRule="exact"/>
              <w:ind w:left="158" w:right="159"/>
              <w:rPr>
                <w:sz w:val="20"/>
              </w:rPr>
            </w:pPr>
            <w:r>
              <w:rPr>
                <w:spacing w:val="-4"/>
                <w:sz w:val="20"/>
              </w:rPr>
              <w:t>46.465</w:t>
            </w:r>
            <w:r>
              <w:rPr>
                <w:rFonts w:ascii="Lucida Sans Unicode" w:hAnsi="Lucida Sans Unicode"/>
                <w:spacing w:val="-4"/>
                <w:sz w:val="20"/>
                <w:vertAlign w:val="superscript"/>
              </w:rPr>
              <w:t>∗∗∗</w:t>
            </w:r>
            <w:r>
              <w:rPr>
                <w:rFonts w:ascii="Lucida Sans Unicode" w:hAnsi="Lucida Sans Unicode"/>
                <w:spacing w:val="-7"/>
                <w:sz w:val="20"/>
                <w:vertAlign w:val="baseline"/>
              </w:rPr>
              <w:t> </w:t>
            </w:r>
            <w:r>
              <w:rPr>
                <w:spacing w:val="-4"/>
                <w:sz w:val="20"/>
                <w:vertAlign w:val="baseline"/>
              </w:rPr>
              <w:t>(df</w:t>
            </w:r>
            <w:r>
              <w:rPr>
                <w:spacing w:val="1"/>
                <w:sz w:val="20"/>
                <w:vertAlign w:val="baseline"/>
              </w:rPr>
              <w:t> </w:t>
            </w:r>
            <w:r>
              <w:rPr>
                <w:spacing w:val="-4"/>
                <w:sz w:val="20"/>
                <w:vertAlign w:val="baseline"/>
              </w:rPr>
              <w:t>=</w:t>
            </w:r>
            <w:r>
              <w:rPr>
                <w:spacing w:val="1"/>
                <w:sz w:val="20"/>
                <w:vertAlign w:val="baseline"/>
              </w:rPr>
              <w:t> </w:t>
            </w:r>
            <w:r>
              <w:rPr>
                <w:spacing w:val="-4"/>
                <w:sz w:val="20"/>
                <w:vertAlign w:val="baseline"/>
              </w:rPr>
              <w:t>3;</w:t>
            </w:r>
            <w:r>
              <w:rPr>
                <w:spacing w:val="1"/>
                <w:sz w:val="20"/>
                <w:vertAlign w:val="baseline"/>
              </w:rPr>
              <w:t> </w:t>
            </w:r>
            <w:r>
              <w:rPr>
                <w:spacing w:val="-4"/>
                <w:sz w:val="20"/>
                <w:vertAlign w:val="baseline"/>
              </w:rPr>
              <w:t>143)</w:t>
            </w:r>
          </w:p>
        </w:tc>
        <w:tc>
          <w:tcPr>
            <w:tcW w:w="2449" w:type="dxa"/>
            <w:tcBorders>
              <w:bottom w:val="double" w:sz="4" w:space="0" w:color="000000"/>
            </w:tcBorders>
          </w:tcPr>
          <w:p>
            <w:pPr>
              <w:pStyle w:val="TableParagraph"/>
              <w:spacing w:line="246" w:lineRule="exact"/>
              <w:ind w:left="147" w:right="148"/>
              <w:rPr>
                <w:sz w:val="20"/>
              </w:rPr>
            </w:pPr>
            <w:r>
              <w:rPr>
                <w:spacing w:val="-2"/>
                <w:sz w:val="20"/>
              </w:rPr>
              <w:t>371.400</w:t>
            </w:r>
            <w:r>
              <w:rPr>
                <w:rFonts w:ascii="Lucida Sans Unicode" w:hAnsi="Lucida Sans Unicode"/>
                <w:spacing w:val="-2"/>
                <w:sz w:val="20"/>
                <w:vertAlign w:val="superscript"/>
              </w:rPr>
              <w:t>∗∗∗</w:t>
            </w:r>
            <w:r>
              <w:rPr>
                <w:rFonts w:ascii="Lucida Sans Unicode" w:hAnsi="Lucida Sans Unicode"/>
                <w:spacing w:val="-14"/>
                <w:sz w:val="20"/>
                <w:vertAlign w:val="baseline"/>
              </w:rPr>
              <w:t> </w:t>
            </w:r>
            <w:r>
              <w:rPr>
                <w:spacing w:val="-2"/>
                <w:sz w:val="20"/>
                <w:vertAlign w:val="baseline"/>
              </w:rPr>
              <w:t>(df</w:t>
            </w:r>
            <w:r>
              <w:rPr>
                <w:spacing w:val="-5"/>
                <w:sz w:val="20"/>
                <w:vertAlign w:val="baseline"/>
              </w:rPr>
              <w:t> </w:t>
            </w:r>
            <w:r>
              <w:rPr>
                <w:spacing w:val="-2"/>
                <w:sz w:val="20"/>
                <w:vertAlign w:val="baseline"/>
              </w:rPr>
              <w:t>=</w:t>
            </w:r>
            <w:r>
              <w:rPr>
                <w:spacing w:val="-5"/>
                <w:sz w:val="20"/>
                <w:vertAlign w:val="baseline"/>
              </w:rPr>
              <w:t> </w:t>
            </w:r>
            <w:r>
              <w:rPr>
                <w:spacing w:val="-2"/>
                <w:sz w:val="20"/>
                <w:vertAlign w:val="baseline"/>
              </w:rPr>
              <w:t>6;</w:t>
            </w:r>
            <w:r>
              <w:rPr>
                <w:spacing w:val="-5"/>
                <w:sz w:val="20"/>
                <w:vertAlign w:val="baseline"/>
              </w:rPr>
              <w:t> </w:t>
            </w:r>
            <w:r>
              <w:rPr>
                <w:spacing w:val="-4"/>
                <w:sz w:val="20"/>
                <w:vertAlign w:val="baseline"/>
              </w:rPr>
              <w:t>354)</w:t>
            </w:r>
          </w:p>
        </w:tc>
        <w:tc>
          <w:tcPr>
            <w:tcW w:w="2399" w:type="dxa"/>
            <w:tcBorders>
              <w:bottom w:val="double" w:sz="4" w:space="0" w:color="000000"/>
            </w:tcBorders>
          </w:tcPr>
          <w:p>
            <w:pPr>
              <w:pStyle w:val="TableParagraph"/>
              <w:spacing w:line="246" w:lineRule="exact"/>
              <w:ind w:left="145" w:right="102"/>
              <w:rPr>
                <w:sz w:val="20"/>
              </w:rPr>
            </w:pPr>
            <w:r>
              <w:rPr>
                <w:spacing w:val="-2"/>
                <w:sz w:val="20"/>
              </w:rPr>
              <w:t>363.277</w:t>
            </w:r>
            <w:r>
              <w:rPr>
                <w:rFonts w:ascii="Lucida Sans Unicode" w:hAnsi="Lucida Sans Unicode"/>
                <w:spacing w:val="-2"/>
                <w:sz w:val="20"/>
                <w:vertAlign w:val="superscript"/>
              </w:rPr>
              <w:t>∗∗∗</w:t>
            </w:r>
            <w:r>
              <w:rPr>
                <w:rFonts w:ascii="Lucida Sans Unicode" w:hAnsi="Lucida Sans Unicode"/>
                <w:spacing w:val="-12"/>
                <w:sz w:val="20"/>
                <w:vertAlign w:val="baseline"/>
              </w:rPr>
              <w:t> </w:t>
            </w:r>
            <w:r>
              <w:rPr>
                <w:spacing w:val="-2"/>
                <w:sz w:val="20"/>
                <w:vertAlign w:val="baseline"/>
              </w:rPr>
              <w:t>(df</w:t>
            </w:r>
            <w:r>
              <w:rPr>
                <w:spacing w:val="-3"/>
                <w:sz w:val="20"/>
                <w:vertAlign w:val="baseline"/>
              </w:rPr>
              <w:t> </w:t>
            </w:r>
            <w:r>
              <w:rPr>
                <w:spacing w:val="-2"/>
                <w:sz w:val="20"/>
                <w:vertAlign w:val="baseline"/>
              </w:rPr>
              <w:t>=</w:t>
            </w:r>
            <w:r>
              <w:rPr>
                <w:spacing w:val="-3"/>
                <w:sz w:val="20"/>
                <w:vertAlign w:val="baseline"/>
              </w:rPr>
              <w:t> </w:t>
            </w:r>
            <w:r>
              <w:rPr>
                <w:spacing w:val="-2"/>
                <w:sz w:val="20"/>
                <w:vertAlign w:val="baseline"/>
              </w:rPr>
              <w:t>6;</w:t>
            </w:r>
            <w:r>
              <w:rPr>
                <w:spacing w:val="-4"/>
                <w:sz w:val="20"/>
                <w:vertAlign w:val="baseline"/>
              </w:rPr>
              <w:t> 354)</w:t>
            </w:r>
          </w:p>
        </w:tc>
      </w:tr>
    </w:tbl>
    <w:p>
      <w:pPr>
        <w:pStyle w:val="BodyText"/>
        <w:spacing w:before="71"/>
        <w:ind w:left="100"/>
      </w:pPr>
      <w:r>
        <w:rPr>
          <w:rFonts w:ascii="Bookman Old Style"/>
          <w:b w:val="0"/>
          <w:i/>
          <w:spacing w:val="-2"/>
        </w:rPr>
        <w:t>Notes:</w:t>
      </w:r>
      <w:r>
        <w:rPr>
          <w:rFonts w:ascii="Bookman Old Style"/>
          <w:b w:val="0"/>
          <w:i/>
          <w:spacing w:val="13"/>
        </w:rPr>
        <w:t> </w:t>
      </w:r>
      <w:r>
        <w:rPr>
          <w:spacing w:val="-2"/>
        </w:rPr>
        <w:t>Models</w:t>
      </w:r>
      <w:r>
        <w:rPr/>
        <w:t> </w:t>
      </w:r>
      <w:r>
        <w:rPr>
          <w:spacing w:val="-2"/>
        </w:rPr>
        <w:t>are</w:t>
      </w:r>
      <w:r>
        <w:rPr>
          <w:spacing w:val="1"/>
        </w:rPr>
        <w:t> </w:t>
      </w:r>
      <w:r>
        <w:rPr>
          <w:spacing w:val="-2"/>
        </w:rPr>
        <w:t>panel</w:t>
      </w:r>
      <w:r>
        <w:rPr>
          <w:spacing w:val="1"/>
        </w:rPr>
        <w:t> </w:t>
      </w:r>
      <w:r>
        <w:rPr>
          <w:spacing w:val="-2"/>
        </w:rPr>
        <w:t>linear</w:t>
      </w:r>
      <w:r>
        <w:rPr>
          <w:spacing w:val="1"/>
        </w:rPr>
        <w:t> </w:t>
      </w:r>
      <w:r>
        <w:rPr>
          <w:spacing w:val="-2"/>
        </w:rPr>
        <w:t>regressions</w:t>
      </w:r>
      <w:r>
        <w:rPr/>
        <w:t> </w:t>
      </w:r>
      <w:r>
        <w:rPr>
          <w:spacing w:val="-2"/>
        </w:rPr>
        <w:t>with</w:t>
      </w:r>
      <w:r>
        <w:rPr>
          <w:spacing w:val="1"/>
        </w:rPr>
        <w:t> </w:t>
      </w:r>
      <w:r>
        <w:rPr>
          <w:spacing w:val="-2"/>
        </w:rPr>
        <w:t>country</w:t>
      </w:r>
      <w:r>
        <w:rPr>
          <w:spacing w:val="1"/>
        </w:rPr>
        <w:t> </w:t>
      </w:r>
      <w:r>
        <w:rPr>
          <w:spacing w:val="-2"/>
        </w:rPr>
        <w:t>fixed</w:t>
      </w:r>
      <w:r>
        <w:rPr/>
        <w:t> </w:t>
      </w:r>
      <w:r>
        <w:rPr>
          <w:spacing w:val="-2"/>
        </w:rPr>
        <w:t>effects.</w:t>
      </w:r>
    </w:p>
    <w:p>
      <w:pPr>
        <w:pStyle w:val="BodyText"/>
        <w:spacing w:line="218" w:lineRule="auto" w:before="26"/>
        <w:ind w:left="100" w:right="2365"/>
      </w:pPr>
      <w:r>
        <w:rPr/>
        <w:t>Total</w:t>
      </w:r>
      <w:r>
        <w:rPr>
          <w:spacing w:val="-3"/>
        </w:rPr>
        <w:t> </w:t>
      </w:r>
      <w:r>
        <w:rPr/>
        <w:t>reserves</w:t>
      </w:r>
      <w:r>
        <w:rPr>
          <w:spacing w:val="-3"/>
        </w:rPr>
        <w:t> </w:t>
      </w:r>
      <w:r>
        <w:rPr/>
        <w:t>are</w:t>
      </w:r>
      <w:r>
        <w:rPr>
          <w:spacing w:val="-3"/>
        </w:rPr>
        <w:t> </w:t>
      </w:r>
      <w:r>
        <w:rPr/>
        <w:t>logged</w:t>
      </w:r>
      <w:r>
        <w:rPr>
          <w:spacing w:val="-3"/>
        </w:rPr>
        <w:t> </w:t>
      </w:r>
      <w:r>
        <w:rPr/>
        <w:t>for</w:t>
      </w:r>
      <w:r>
        <w:rPr>
          <w:spacing w:val="-3"/>
        </w:rPr>
        <w:t> </w:t>
      </w:r>
      <w:r>
        <w:rPr/>
        <w:t>models</w:t>
      </w:r>
      <w:r>
        <w:rPr>
          <w:spacing w:val="-3"/>
        </w:rPr>
        <w:t> </w:t>
      </w:r>
      <w:r>
        <w:rPr/>
        <w:t>using</w:t>
      </w:r>
      <w:r>
        <w:rPr>
          <w:spacing w:val="-3"/>
        </w:rPr>
        <w:t> </w:t>
      </w:r>
      <w:r>
        <w:rPr/>
        <w:t>only</w:t>
      </w:r>
      <w:r>
        <w:rPr>
          <w:spacing w:val="-3"/>
        </w:rPr>
        <w:t> </w:t>
      </w:r>
      <w:r>
        <w:rPr/>
        <w:t>oil</w:t>
      </w:r>
      <w:r>
        <w:rPr>
          <w:spacing w:val="-3"/>
        </w:rPr>
        <w:t> </w:t>
      </w:r>
      <w:r>
        <w:rPr/>
        <w:t>reliant</w:t>
      </w:r>
      <w:r>
        <w:rPr>
          <w:spacing w:val="-3"/>
        </w:rPr>
        <w:t> </w:t>
      </w:r>
      <w:r>
        <w:rPr/>
        <w:t>states.</w:t>
      </w:r>
      <w:r>
        <w:rPr>
          <w:spacing w:val="12"/>
        </w:rPr>
        <w:t> </w:t>
      </w:r>
      <w:r>
        <w:rPr/>
        <w:t>Oil</w:t>
      </w:r>
      <w:r>
        <w:rPr>
          <w:spacing w:val="-3"/>
        </w:rPr>
        <w:t> </w:t>
      </w:r>
      <w:r>
        <w:rPr/>
        <w:t>rents</w:t>
      </w:r>
      <w:r>
        <w:rPr>
          <w:spacing w:val="-3"/>
        </w:rPr>
        <w:t> </w:t>
      </w:r>
      <w:r>
        <w:rPr/>
        <w:t>variable</w:t>
      </w:r>
      <w:r>
        <w:rPr>
          <w:spacing w:val="-3"/>
        </w:rPr>
        <w:t> </w:t>
      </w:r>
      <w:r>
        <w:rPr/>
        <w:t>is</w:t>
      </w:r>
      <w:r>
        <w:rPr>
          <w:spacing w:val="-3"/>
        </w:rPr>
        <w:t> </w:t>
      </w:r>
      <w:r>
        <w:rPr/>
        <w:t>lagged</w:t>
      </w:r>
      <w:r>
        <w:rPr>
          <w:spacing w:val="-3"/>
        </w:rPr>
        <w:t> </w:t>
      </w:r>
      <w:r>
        <w:rPr/>
        <w:t>for</w:t>
      </w:r>
      <w:r>
        <w:rPr>
          <w:spacing w:val="-3"/>
        </w:rPr>
        <w:t> </w:t>
      </w:r>
      <w:r>
        <w:rPr/>
        <w:t>Model</w:t>
      </w:r>
      <w:r>
        <w:rPr>
          <w:spacing w:val="-3"/>
        </w:rPr>
        <w:t> </w:t>
      </w:r>
      <w:r>
        <w:rPr/>
        <w:t>4. Robust standard errors in parentheses.</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0.1;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0.05;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0.01</w:t>
      </w:r>
    </w:p>
    <w:p>
      <w:pPr>
        <w:spacing w:after="0" w:line="218" w:lineRule="auto"/>
        <w:sectPr>
          <w:footerReference w:type="default" r:id="rId14"/>
          <w:pgSz w:w="15840" w:h="12240" w:orient="landscape"/>
          <w:pgMar w:footer="0" w:header="0" w:top="1360" w:bottom="280" w:left="1800" w:right="1840"/>
        </w:sectPr>
      </w:pPr>
    </w:p>
    <w:p>
      <w:pPr>
        <w:pStyle w:val="BodyText"/>
        <w:spacing w:line="316" w:lineRule="auto" w:before="49"/>
        <w:ind w:left="137" w:right="1793" w:firstLine="298"/>
        <w:jc w:val="both"/>
      </w:pPr>
      <w:r>
        <w:rPr/>
        <w:t>The</w:t>
      </w:r>
      <w:r>
        <w:rPr>
          <w:spacing w:val="-1"/>
        </w:rPr>
        <w:t> </w:t>
      </w:r>
      <w:r>
        <w:rPr/>
        <w:t>final</w:t>
      </w:r>
      <w:r>
        <w:rPr>
          <w:spacing w:val="-1"/>
        </w:rPr>
        <w:t> </w:t>
      </w:r>
      <w:r>
        <w:rPr/>
        <w:t>hypothesis</w:t>
      </w:r>
      <w:r>
        <w:rPr>
          <w:spacing w:val="-1"/>
        </w:rPr>
        <w:t> </w:t>
      </w:r>
      <w:r>
        <w:rPr/>
        <w:t>(H3)</w:t>
      </w:r>
      <w:r>
        <w:rPr>
          <w:spacing w:val="-1"/>
        </w:rPr>
        <w:t> </w:t>
      </w:r>
      <w:r>
        <w:rPr/>
        <w:t>examines</w:t>
      </w:r>
      <w:r>
        <w:rPr>
          <w:spacing w:val="-1"/>
        </w:rPr>
        <w:t> </w:t>
      </w:r>
      <w:r>
        <w:rPr/>
        <w:t>the</w:t>
      </w:r>
      <w:r>
        <w:rPr>
          <w:spacing w:val="-1"/>
        </w:rPr>
        <w:t> </w:t>
      </w:r>
      <w:r>
        <w:rPr/>
        <w:t>relationship</w:t>
      </w:r>
      <w:r>
        <w:rPr>
          <w:spacing w:val="-1"/>
        </w:rPr>
        <w:t> </w:t>
      </w:r>
      <w:r>
        <w:rPr/>
        <w:t>between</w:t>
      </w:r>
      <w:r>
        <w:rPr>
          <w:spacing w:val="-1"/>
        </w:rPr>
        <w:t> </w:t>
      </w:r>
      <w:r>
        <w:rPr/>
        <w:t>military</w:t>
      </w:r>
      <w:r>
        <w:rPr>
          <w:spacing w:val="-1"/>
        </w:rPr>
        <w:t> </w:t>
      </w:r>
      <w:r>
        <w:rPr/>
        <w:t>spending</w:t>
      </w:r>
      <w:r>
        <w:rPr>
          <w:spacing w:val="-1"/>
        </w:rPr>
        <w:t> </w:t>
      </w:r>
      <w:r>
        <w:rPr/>
        <w:t>and</w:t>
      </w:r>
      <w:r>
        <w:rPr>
          <w:spacing w:val="-1"/>
        </w:rPr>
        <w:t> </w:t>
      </w:r>
      <w:r>
        <w:rPr/>
        <w:t>the</w:t>
      </w:r>
      <w:r>
        <w:rPr>
          <w:spacing w:val="-1"/>
        </w:rPr>
        <w:t> </w:t>
      </w:r>
      <w:r>
        <w:rPr/>
        <w:t>number</w:t>
      </w:r>
      <w:r>
        <w:rPr>
          <w:spacing w:val="-1"/>
        </w:rPr>
        <w:t> </w:t>
      </w:r>
      <w:r>
        <w:rPr/>
        <w:t>of battle deaths in oil reliant conflict states.</w:t>
      </w:r>
      <w:r>
        <w:rPr>
          <w:spacing w:val="40"/>
        </w:rPr>
        <w:t> </w:t>
      </w:r>
      <w:r>
        <w:rPr/>
        <w:t>Analysis here is made more challenging by the fact that, without</w:t>
      </w:r>
      <w:r>
        <w:rPr>
          <w:spacing w:val="-2"/>
        </w:rPr>
        <w:t> </w:t>
      </w:r>
      <w:r>
        <w:rPr/>
        <w:t>control</w:t>
      </w:r>
      <w:r>
        <w:rPr>
          <w:spacing w:val="-2"/>
        </w:rPr>
        <w:t> </w:t>
      </w:r>
      <w:r>
        <w:rPr/>
        <w:t>variables,</w:t>
      </w:r>
      <w:r>
        <w:rPr>
          <w:spacing w:val="-2"/>
        </w:rPr>
        <w:t> </w:t>
      </w:r>
      <w:r>
        <w:rPr/>
        <w:t>military</w:t>
      </w:r>
      <w:r>
        <w:rPr>
          <w:spacing w:val="-2"/>
        </w:rPr>
        <w:t> </w:t>
      </w:r>
      <w:r>
        <w:rPr/>
        <w:t>spending</w:t>
      </w:r>
      <w:r>
        <w:rPr>
          <w:spacing w:val="-2"/>
        </w:rPr>
        <w:t> </w:t>
      </w:r>
      <w:r>
        <w:rPr/>
        <w:t>can</w:t>
      </w:r>
      <w:r>
        <w:rPr>
          <w:spacing w:val="-2"/>
        </w:rPr>
        <w:t> </w:t>
      </w:r>
      <w:r>
        <w:rPr/>
        <w:t>be</w:t>
      </w:r>
      <w:r>
        <w:rPr>
          <w:spacing w:val="-2"/>
        </w:rPr>
        <w:t> </w:t>
      </w:r>
      <w:r>
        <w:rPr/>
        <w:t>expected</w:t>
      </w:r>
      <w:r>
        <w:rPr>
          <w:spacing w:val="-2"/>
        </w:rPr>
        <w:t> </w:t>
      </w:r>
      <w:r>
        <w:rPr/>
        <w:t>to</w:t>
      </w:r>
      <w:r>
        <w:rPr>
          <w:spacing w:val="-2"/>
        </w:rPr>
        <w:t> </w:t>
      </w:r>
      <w:r>
        <w:rPr/>
        <w:t>have</w:t>
      </w:r>
      <w:r>
        <w:rPr>
          <w:spacing w:val="-2"/>
        </w:rPr>
        <w:t> </w:t>
      </w:r>
      <w:r>
        <w:rPr/>
        <w:t>a</w:t>
      </w:r>
      <w:r>
        <w:rPr>
          <w:spacing w:val="-2"/>
        </w:rPr>
        <w:t> </w:t>
      </w:r>
      <w:r>
        <w:rPr/>
        <w:t>strong</w:t>
      </w:r>
      <w:r>
        <w:rPr>
          <w:spacing w:val="-2"/>
        </w:rPr>
        <w:t> </w:t>
      </w:r>
      <w:r>
        <w:rPr/>
        <w:t>positive</w:t>
      </w:r>
      <w:r>
        <w:rPr>
          <w:spacing w:val="-2"/>
        </w:rPr>
        <w:t> </w:t>
      </w:r>
      <w:r>
        <w:rPr/>
        <w:t>association</w:t>
      </w:r>
      <w:r>
        <w:rPr>
          <w:spacing w:val="-2"/>
        </w:rPr>
        <w:t> </w:t>
      </w:r>
      <w:r>
        <w:rPr/>
        <w:t>with conflict intensity, since states experiencing more conflict will tend to spend more on the military.</w:t>
      </w:r>
      <w:r>
        <w:rPr>
          <w:spacing w:val="24"/>
        </w:rPr>
        <w:t> </w:t>
      </w:r>
      <w:r>
        <w:rPr/>
        <w:t>The inclusion</w:t>
      </w:r>
      <w:r>
        <w:rPr>
          <w:spacing w:val="-13"/>
        </w:rPr>
        <w:t> </w:t>
      </w:r>
      <w:r>
        <w:rPr/>
        <w:t>of</w:t>
      </w:r>
      <w:r>
        <w:rPr>
          <w:spacing w:val="-12"/>
        </w:rPr>
        <w:t> </w:t>
      </w:r>
      <w:r>
        <w:rPr/>
        <w:t>a</w:t>
      </w:r>
      <w:r>
        <w:rPr>
          <w:spacing w:val="-12"/>
        </w:rPr>
        <w:t> </w:t>
      </w:r>
      <w:r>
        <w:rPr/>
        <w:t>measure</w:t>
      </w:r>
      <w:r>
        <w:rPr>
          <w:spacing w:val="-12"/>
        </w:rPr>
        <w:t> </w:t>
      </w:r>
      <w:r>
        <w:rPr/>
        <w:t>for</w:t>
      </w:r>
      <w:r>
        <w:rPr>
          <w:spacing w:val="-12"/>
        </w:rPr>
        <w:t> </w:t>
      </w:r>
      <w:r>
        <w:rPr/>
        <w:t>the</w:t>
      </w:r>
      <w:r>
        <w:rPr>
          <w:spacing w:val="-12"/>
        </w:rPr>
        <w:t> </w:t>
      </w:r>
      <w:r>
        <w:rPr/>
        <w:t>number</w:t>
      </w:r>
      <w:r>
        <w:rPr>
          <w:spacing w:val="-12"/>
        </w:rPr>
        <w:t> </w:t>
      </w:r>
      <w:r>
        <w:rPr/>
        <w:t>of</w:t>
      </w:r>
      <w:r>
        <w:rPr>
          <w:spacing w:val="-12"/>
        </w:rPr>
        <w:t> </w:t>
      </w:r>
      <w:r>
        <w:rPr/>
        <w:t>battle</w:t>
      </w:r>
      <w:r>
        <w:rPr>
          <w:spacing w:val="-12"/>
        </w:rPr>
        <w:t> </w:t>
      </w:r>
      <w:r>
        <w:rPr/>
        <w:t>deaths</w:t>
      </w:r>
      <w:r>
        <w:rPr>
          <w:spacing w:val="-12"/>
        </w:rPr>
        <w:t> </w:t>
      </w:r>
      <w:r>
        <w:rPr/>
        <w:t>in</w:t>
      </w:r>
      <w:r>
        <w:rPr>
          <w:spacing w:val="-12"/>
        </w:rPr>
        <w:t> </w:t>
      </w:r>
      <w:r>
        <w:rPr/>
        <w:t>the</w:t>
      </w:r>
      <w:r>
        <w:rPr>
          <w:spacing w:val="-12"/>
        </w:rPr>
        <w:t> </w:t>
      </w:r>
      <w:r>
        <w:rPr/>
        <w:t>previous</w:t>
      </w:r>
      <w:r>
        <w:rPr>
          <w:spacing w:val="-12"/>
        </w:rPr>
        <w:t> </w:t>
      </w:r>
      <w:r>
        <w:rPr/>
        <w:t>period</w:t>
      </w:r>
      <w:r>
        <w:rPr>
          <w:spacing w:val="-12"/>
        </w:rPr>
        <w:t> </w:t>
      </w:r>
      <w:r>
        <w:rPr/>
        <w:t>helps</w:t>
      </w:r>
      <w:r>
        <w:rPr>
          <w:spacing w:val="-12"/>
        </w:rPr>
        <w:t> </w:t>
      </w:r>
      <w:r>
        <w:rPr/>
        <w:t>to</w:t>
      </w:r>
      <w:r>
        <w:rPr>
          <w:spacing w:val="-12"/>
        </w:rPr>
        <w:t> </w:t>
      </w:r>
      <w:r>
        <w:rPr/>
        <w:t>mitigate</w:t>
      </w:r>
      <w:r>
        <w:rPr>
          <w:spacing w:val="-13"/>
        </w:rPr>
        <w:t> </w:t>
      </w:r>
      <w:r>
        <w:rPr/>
        <w:t>this</w:t>
      </w:r>
      <w:r>
        <w:rPr>
          <w:spacing w:val="-12"/>
        </w:rPr>
        <w:t> </w:t>
      </w:r>
      <w:r>
        <w:rPr/>
        <w:t>effect and improve model fit, as do fixed effects.</w:t>
      </w:r>
    </w:p>
    <w:p>
      <w:pPr>
        <w:pStyle w:val="BodyText"/>
        <w:spacing w:line="316" w:lineRule="auto" w:before="136"/>
        <w:ind w:left="137" w:right="1793" w:firstLine="298"/>
        <w:jc w:val="both"/>
      </w:pPr>
      <w:r>
        <w:rPr/>
        <w:t>As</w:t>
      </w:r>
      <w:r>
        <w:rPr>
          <w:spacing w:val="-13"/>
        </w:rPr>
        <w:t> </w:t>
      </w:r>
      <w:r>
        <w:rPr/>
        <w:t>previously</w:t>
      </w:r>
      <w:r>
        <w:rPr>
          <w:spacing w:val="-12"/>
        </w:rPr>
        <w:t> </w:t>
      </w:r>
      <w:r>
        <w:rPr/>
        <w:t>discussed,</w:t>
      </w:r>
      <w:r>
        <w:rPr>
          <w:spacing w:val="-12"/>
        </w:rPr>
        <w:t> </w:t>
      </w:r>
      <w:r>
        <w:rPr/>
        <w:t>we</w:t>
      </w:r>
      <w:r>
        <w:rPr>
          <w:spacing w:val="-12"/>
        </w:rPr>
        <w:t> </w:t>
      </w:r>
      <w:r>
        <w:rPr/>
        <w:t>can</w:t>
      </w:r>
      <w:r>
        <w:rPr>
          <w:spacing w:val="-12"/>
        </w:rPr>
        <w:t> </w:t>
      </w:r>
      <w:r>
        <w:rPr/>
        <w:t>expect</w:t>
      </w:r>
      <w:r>
        <w:rPr>
          <w:spacing w:val="-12"/>
        </w:rPr>
        <w:t> </w:t>
      </w:r>
      <w:r>
        <w:rPr/>
        <w:t>the</w:t>
      </w:r>
      <w:r>
        <w:rPr>
          <w:spacing w:val="-12"/>
        </w:rPr>
        <w:t> </w:t>
      </w:r>
      <w:r>
        <w:rPr/>
        <w:t>effect</w:t>
      </w:r>
      <w:r>
        <w:rPr>
          <w:spacing w:val="-12"/>
        </w:rPr>
        <w:t> </w:t>
      </w:r>
      <w:r>
        <w:rPr/>
        <w:t>of</w:t>
      </w:r>
      <w:r>
        <w:rPr>
          <w:spacing w:val="-12"/>
        </w:rPr>
        <w:t> </w:t>
      </w:r>
      <w:r>
        <w:rPr/>
        <w:t>military</w:t>
      </w:r>
      <w:r>
        <w:rPr>
          <w:spacing w:val="-12"/>
        </w:rPr>
        <w:t> </w:t>
      </w:r>
      <w:r>
        <w:rPr/>
        <w:t>spending</w:t>
      </w:r>
      <w:r>
        <w:rPr>
          <w:spacing w:val="-12"/>
        </w:rPr>
        <w:t> </w:t>
      </w:r>
      <w:r>
        <w:rPr/>
        <w:t>on</w:t>
      </w:r>
      <w:r>
        <w:rPr>
          <w:spacing w:val="-12"/>
        </w:rPr>
        <w:t> </w:t>
      </w:r>
      <w:r>
        <w:rPr/>
        <w:t>the</w:t>
      </w:r>
      <w:r>
        <w:rPr>
          <w:spacing w:val="-12"/>
        </w:rPr>
        <w:t> </w:t>
      </w:r>
      <w:r>
        <w:rPr/>
        <w:t>number</w:t>
      </w:r>
      <w:r>
        <w:rPr>
          <w:spacing w:val="-12"/>
        </w:rPr>
        <w:t> </w:t>
      </w:r>
      <w:r>
        <w:rPr/>
        <w:t>of</w:t>
      </w:r>
      <w:r>
        <w:rPr>
          <w:spacing w:val="-12"/>
        </w:rPr>
        <w:t> </w:t>
      </w:r>
      <w:r>
        <w:rPr/>
        <w:t>battle</w:t>
      </w:r>
      <w:r>
        <w:rPr>
          <w:spacing w:val="-12"/>
        </w:rPr>
        <w:t> </w:t>
      </w:r>
      <w:r>
        <w:rPr/>
        <w:t>deaths in a conflict to be nonlinear.</w:t>
      </w:r>
      <w:r>
        <w:rPr>
          <w:spacing w:val="40"/>
        </w:rPr>
        <w:t> </w:t>
      </w:r>
      <w:r>
        <w:rPr/>
        <w:t>States in the midst of higher intensity conflicts may see the number of associated battle deaths rise with increased military spending, as additional military spending is used to</w:t>
      </w:r>
      <w:r>
        <w:rPr>
          <w:spacing w:val="26"/>
        </w:rPr>
        <w:t> </w:t>
      </w:r>
      <w:r>
        <w:rPr/>
        <w:t>crack</w:t>
      </w:r>
      <w:r>
        <w:rPr>
          <w:spacing w:val="26"/>
        </w:rPr>
        <w:t> </w:t>
      </w:r>
      <w:r>
        <w:rPr/>
        <w:t>down</w:t>
      </w:r>
      <w:r>
        <w:rPr>
          <w:spacing w:val="26"/>
        </w:rPr>
        <w:t> </w:t>
      </w:r>
      <w:r>
        <w:rPr/>
        <w:t>on</w:t>
      </w:r>
      <w:r>
        <w:rPr>
          <w:spacing w:val="26"/>
        </w:rPr>
        <w:t> </w:t>
      </w:r>
      <w:r>
        <w:rPr/>
        <w:t>rebels.</w:t>
      </w:r>
      <w:r>
        <w:rPr>
          <w:spacing w:val="80"/>
        </w:rPr>
        <w:t> </w:t>
      </w:r>
      <w:r>
        <w:rPr/>
        <w:t>However,</w:t>
      </w:r>
      <w:r>
        <w:rPr>
          <w:spacing w:val="32"/>
        </w:rPr>
        <w:t> </w:t>
      </w:r>
      <w:r>
        <w:rPr/>
        <w:t>in</w:t>
      </w:r>
      <w:r>
        <w:rPr>
          <w:spacing w:val="26"/>
        </w:rPr>
        <w:t> </w:t>
      </w:r>
      <w:r>
        <w:rPr/>
        <w:t>states</w:t>
      </w:r>
      <w:r>
        <w:rPr>
          <w:spacing w:val="26"/>
        </w:rPr>
        <w:t> </w:t>
      </w:r>
      <w:r>
        <w:rPr/>
        <w:t>where</w:t>
      </w:r>
      <w:r>
        <w:rPr>
          <w:spacing w:val="26"/>
        </w:rPr>
        <w:t> </w:t>
      </w:r>
      <w:r>
        <w:rPr/>
        <w:t>ongoing</w:t>
      </w:r>
      <w:r>
        <w:rPr>
          <w:spacing w:val="26"/>
        </w:rPr>
        <w:t> </w:t>
      </w:r>
      <w:r>
        <w:rPr/>
        <w:t>conflict</w:t>
      </w:r>
      <w:r>
        <w:rPr>
          <w:spacing w:val="26"/>
        </w:rPr>
        <w:t> </w:t>
      </w:r>
      <w:r>
        <w:rPr/>
        <w:t>is</w:t>
      </w:r>
      <w:r>
        <w:rPr>
          <w:spacing w:val="26"/>
        </w:rPr>
        <w:t> </w:t>
      </w:r>
      <w:r>
        <w:rPr/>
        <w:t>less</w:t>
      </w:r>
      <w:r>
        <w:rPr>
          <w:spacing w:val="26"/>
        </w:rPr>
        <w:t> </w:t>
      </w:r>
      <w:r>
        <w:rPr/>
        <w:t>intense,</w:t>
      </w:r>
      <w:r>
        <w:rPr>
          <w:spacing w:val="32"/>
        </w:rPr>
        <w:t> </w:t>
      </w:r>
      <w:r>
        <w:rPr/>
        <w:t>we</w:t>
      </w:r>
      <w:r>
        <w:rPr>
          <w:spacing w:val="26"/>
        </w:rPr>
        <w:t> </w:t>
      </w:r>
      <w:r>
        <w:rPr/>
        <w:t>can</w:t>
      </w:r>
      <w:r>
        <w:rPr>
          <w:spacing w:val="26"/>
        </w:rPr>
        <w:t> </w:t>
      </w:r>
      <w:r>
        <w:rPr/>
        <w:t>expect that opportunity-minded or less-numerous rebels may have less appetite for conflict as the security environment improves.</w:t>
      </w:r>
      <w:r>
        <w:rPr>
          <w:spacing w:val="40"/>
        </w:rPr>
        <w:t> </w:t>
      </w:r>
      <w:r>
        <w:rPr/>
        <w:t>For this reason, we should primarily observe additional military spending to reduce the number of battle deaths in states where conflict is already more mild and rebels can more easily disengage.</w:t>
      </w:r>
    </w:p>
    <w:p>
      <w:pPr>
        <w:pStyle w:val="BodyText"/>
        <w:spacing w:line="316" w:lineRule="auto" w:before="133"/>
        <w:ind w:left="137" w:right="1792" w:firstLine="298"/>
        <w:jc w:val="both"/>
      </w:pPr>
      <w:r>
        <w:rPr/>
        <w:t>Based</w:t>
      </w:r>
      <w:r>
        <w:rPr>
          <w:spacing w:val="-8"/>
        </w:rPr>
        <w:t> </w:t>
      </w:r>
      <w:r>
        <w:rPr/>
        <w:t>on</w:t>
      </w:r>
      <w:r>
        <w:rPr>
          <w:spacing w:val="-8"/>
        </w:rPr>
        <w:t> </w:t>
      </w:r>
      <w:r>
        <w:rPr/>
        <w:t>these</w:t>
      </w:r>
      <w:r>
        <w:rPr>
          <w:spacing w:val="-8"/>
        </w:rPr>
        <w:t> </w:t>
      </w:r>
      <w:r>
        <w:rPr/>
        <w:t>intuitions,</w:t>
      </w:r>
      <w:r>
        <w:rPr>
          <w:spacing w:val="-7"/>
        </w:rPr>
        <w:t> </w:t>
      </w:r>
      <w:r>
        <w:rPr/>
        <w:t>we</w:t>
      </w:r>
      <w:r>
        <w:rPr>
          <w:spacing w:val="-8"/>
        </w:rPr>
        <w:t> </w:t>
      </w:r>
      <w:r>
        <w:rPr/>
        <w:t>split</w:t>
      </w:r>
      <w:r>
        <w:rPr>
          <w:spacing w:val="-8"/>
        </w:rPr>
        <w:t> </w:t>
      </w:r>
      <w:r>
        <w:rPr/>
        <w:t>the</w:t>
      </w:r>
      <w:r>
        <w:rPr>
          <w:spacing w:val="-8"/>
        </w:rPr>
        <w:t> </w:t>
      </w:r>
      <w:r>
        <w:rPr/>
        <w:t>sample</w:t>
      </w:r>
      <w:r>
        <w:rPr>
          <w:spacing w:val="-8"/>
        </w:rPr>
        <w:t> </w:t>
      </w:r>
      <w:r>
        <w:rPr/>
        <w:t>of</w:t>
      </w:r>
      <w:r>
        <w:rPr>
          <w:spacing w:val="-8"/>
        </w:rPr>
        <w:t> </w:t>
      </w:r>
      <w:r>
        <w:rPr/>
        <w:t>oil</w:t>
      </w:r>
      <w:r>
        <w:rPr>
          <w:spacing w:val="-8"/>
        </w:rPr>
        <w:t> </w:t>
      </w:r>
      <w:r>
        <w:rPr/>
        <w:t>reliant</w:t>
      </w:r>
      <w:r>
        <w:rPr>
          <w:spacing w:val="-8"/>
        </w:rPr>
        <w:t> </w:t>
      </w:r>
      <w:r>
        <w:rPr/>
        <w:t>conflict</w:t>
      </w:r>
      <w:r>
        <w:rPr>
          <w:spacing w:val="-8"/>
        </w:rPr>
        <w:t> </w:t>
      </w:r>
      <w:r>
        <w:rPr/>
        <w:t>states</w:t>
      </w:r>
      <w:r>
        <w:rPr>
          <w:spacing w:val="-8"/>
        </w:rPr>
        <w:t> </w:t>
      </w:r>
      <w:r>
        <w:rPr/>
        <w:t>into</w:t>
      </w:r>
      <w:r>
        <w:rPr>
          <w:spacing w:val="-8"/>
        </w:rPr>
        <w:t> </w:t>
      </w:r>
      <w:r>
        <w:rPr/>
        <w:t>high</w:t>
      </w:r>
      <w:r>
        <w:rPr>
          <w:spacing w:val="-8"/>
        </w:rPr>
        <w:t> </w:t>
      </w:r>
      <w:r>
        <w:rPr/>
        <w:t>intensity</w:t>
      </w:r>
      <w:r>
        <w:rPr>
          <w:spacing w:val="-8"/>
        </w:rPr>
        <w:t> </w:t>
      </w:r>
      <w:r>
        <w:rPr/>
        <w:t>conflict states (those where yearly battle deaths exceeded 500), and low intensity conflict states (where battle deaths were less than 500).</w:t>
      </w:r>
      <w:r>
        <w:rPr>
          <w:spacing w:val="33"/>
        </w:rPr>
        <w:t> </w:t>
      </w:r>
      <w:r>
        <w:rPr/>
        <w:t>The formal specifications for these models can be found in the appendix. The table below illustrates the results of these tests.</w:t>
      </w:r>
      <w:r>
        <w:rPr>
          <w:spacing w:val="35"/>
        </w:rPr>
        <w:t> </w:t>
      </w:r>
      <w:r>
        <w:rPr/>
        <w:t>The first model illustrates the effect using all oil reliant</w:t>
      </w:r>
      <w:r>
        <w:rPr>
          <w:spacing w:val="-6"/>
        </w:rPr>
        <w:t> </w:t>
      </w:r>
      <w:r>
        <w:rPr/>
        <w:t>states.</w:t>
      </w:r>
      <w:r>
        <w:rPr>
          <w:spacing w:val="11"/>
        </w:rPr>
        <w:t> </w:t>
      </w:r>
      <w:r>
        <w:rPr/>
        <w:t>The</w:t>
      </w:r>
      <w:r>
        <w:rPr>
          <w:spacing w:val="-6"/>
        </w:rPr>
        <w:t> </w:t>
      </w:r>
      <w:r>
        <w:rPr/>
        <w:t>second</w:t>
      </w:r>
      <w:r>
        <w:rPr>
          <w:spacing w:val="-6"/>
        </w:rPr>
        <w:t> </w:t>
      </w:r>
      <w:r>
        <w:rPr/>
        <w:t>model</w:t>
      </w:r>
      <w:r>
        <w:rPr>
          <w:spacing w:val="-5"/>
        </w:rPr>
        <w:t> </w:t>
      </w:r>
      <w:r>
        <w:rPr/>
        <w:t>includes</w:t>
      </w:r>
      <w:r>
        <w:rPr>
          <w:spacing w:val="-6"/>
        </w:rPr>
        <w:t> </w:t>
      </w:r>
      <w:r>
        <w:rPr/>
        <w:t>the</w:t>
      </w:r>
      <w:r>
        <w:rPr>
          <w:spacing w:val="-6"/>
        </w:rPr>
        <w:t> </w:t>
      </w:r>
      <w:r>
        <w:rPr/>
        <w:t>low</w:t>
      </w:r>
      <w:r>
        <w:rPr>
          <w:spacing w:val="-6"/>
        </w:rPr>
        <w:t> </w:t>
      </w:r>
      <w:r>
        <w:rPr/>
        <w:t>intensity</w:t>
      </w:r>
      <w:r>
        <w:rPr>
          <w:spacing w:val="-6"/>
        </w:rPr>
        <w:t> </w:t>
      </w:r>
      <w:r>
        <w:rPr/>
        <w:t>conflict</w:t>
      </w:r>
      <w:r>
        <w:rPr>
          <w:spacing w:val="-6"/>
        </w:rPr>
        <w:t> </w:t>
      </w:r>
      <w:r>
        <w:rPr/>
        <w:t>states,</w:t>
      </w:r>
      <w:r>
        <w:rPr>
          <w:spacing w:val="-5"/>
        </w:rPr>
        <w:t> </w:t>
      </w:r>
      <w:r>
        <w:rPr/>
        <w:t>and</w:t>
      </w:r>
      <w:r>
        <w:rPr>
          <w:spacing w:val="-6"/>
        </w:rPr>
        <w:t> </w:t>
      </w:r>
      <w:r>
        <w:rPr/>
        <w:t>the</w:t>
      </w:r>
      <w:r>
        <w:rPr>
          <w:spacing w:val="-6"/>
        </w:rPr>
        <w:t> </w:t>
      </w:r>
      <w:r>
        <w:rPr/>
        <w:t>third</w:t>
      </w:r>
      <w:r>
        <w:rPr>
          <w:spacing w:val="-6"/>
        </w:rPr>
        <w:t> </w:t>
      </w:r>
      <w:r>
        <w:rPr/>
        <w:t>model</w:t>
      </w:r>
      <w:r>
        <w:rPr>
          <w:spacing w:val="-6"/>
        </w:rPr>
        <w:t> </w:t>
      </w:r>
      <w:r>
        <w:rPr/>
        <w:t>uses</w:t>
      </w:r>
      <w:r>
        <w:rPr>
          <w:spacing w:val="-5"/>
        </w:rPr>
        <w:t> </w:t>
      </w:r>
      <w:r>
        <w:rPr/>
        <w:t>the high</w:t>
      </w:r>
      <w:r>
        <w:rPr>
          <w:spacing w:val="-4"/>
        </w:rPr>
        <w:t> </w:t>
      </w:r>
      <w:r>
        <w:rPr/>
        <w:t>intensity</w:t>
      </w:r>
      <w:r>
        <w:rPr>
          <w:spacing w:val="-4"/>
        </w:rPr>
        <w:t> </w:t>
      </w:r>
      <w:r>
        <w:rPr/>
        <w:t>conflict</w:t>
      </w:r>
      <w:r>
        <w:rPr>
          <w:spacing w:val="-4"/>
        </w:rPr>
        <w:t> </w:t>
      </w:r>
      <w:r>
        <w:rPr/>
        <w:t>states.</w:t>
      </w:r>
      <w:r>
        <w:rPr>
          <w:spacing w:val="15"/>
        </w:rPr>
        <w:t> </w:t>
      </w:r>
      <w:r>
        <w:rPr/>
        <w:t>As</w:t>
      </w:r>
      <w:r>
        <w:rPr>
          <w:spacing w:val="-4"/>
        </w:rPr>
        <w:t> </w:t>
      </w:r>
      <w:r>
        <w:rPr/>
        <w:t>before,</w:t>
      </w:r>
      <w:r>
        <w:rPr>
          <w:spacing w:val="-3"/>
        </w:rPr>
        <w:t> </w:t>
      </w:r>
      <w:r>
        <w:rPr/>
        <w:t>we</w:t>
      </w:r>
      <w:r>
        <w:rPr>
          <w:spacing w:val="-4"/>
        </w:rPr>
        <w:t> </w:t>
      </w:r>
      <w:r>
        <w:rPr/>
        <w:t>employed</w:t>
      </w:r>
      <w:r>
        <w:rPr>
          <w:spacing w:val="-4"/>
        </w:rPr>
        <w:t> </w:t>
      </w:r>
      <w:r>
        <w:rPr/>
        <w:t>OLS</w:t>
      </w:r>
      <w:r>
        <w:rPr>
          <w:spacing w:val="-3"/>
        </w:rPr>
        <w:t> </w:t>
      </w:r>
      <w:r>
        <w:rPr/>
        <w:t>panel</w:t>
      </w:r>
      <w:r>
        <w:rPr>
          <w:spacing w:val="-4"/>
        </w:rPr>
        <w:t> </w:t>
      </w:r>
      <w:r>
        <w:rPr/>
        <w:t>regressions</w:t>
      </w:r>
      <w:r>
        <w:rPr>
          <w:spacing w:val="-3"/>
        </w:rPr>
        <w:t> </w:t>
      </w:r>
      <w:r>
        <w:rPr/>
        <w:t>with</w:t>
      </w:r>
      <w:r>
        <w:rPr>
          <w:spacing w:val="-4"/>
        </w:rPr>
        <w:t> </w:t>
      </w:r>
      <w:r>
        <w:rPr/>
        <w:t>fixed</w:t>
      </w:r>
      <w:r>
        <w:rPr>
          <w:spacing w:val="-3"/>
        </w:rPr>
        <w:t> </w:t>
      </w:r>
      <w:r>
        <w:rPr/>
        <w:t>effects</w:t>
      </w:r>
      <w:r>
        <w:rPr>
          <w:spacing w:val="-4"/>
        </w:rPr>
        <w:t> </w:t>
      </w:r>
      <w:r>
        <w:rPr/>
        <w:t>for</w:t>
      </w:r>
      <w:r>
        <w:rPr>
          <w:spacing w:val="-3"/>
        </w:rPr>
        <w:t> </w:t>
      </w:r>
      <w:r>
        <w:rPr/>
        <w:t>time and country.</w:t>
      </w:r>
    </w:p>
    <w:p>
      <w:pPr>
        <w:pStyle w:val="BodyText"/>
        <w:spacing w:line="316" w:lineRule="auto" w:before="134"/>
        <w:ind w:left="137" w:right="1793" w:firstLine="298"/>
        <w:jc w:val="both"/>
      </w:pPr>
      <w:r>
        <w:rPr/>
        <w:t>As the table shows, the logged value of military expenditures was negatively associated with the number of battle deaths in oil reliant states in which low-level conflict was occurring.</w:t>
      </w:r>
      <w:r>
        <w:rPr>
          <w:spacing w:val="40"/>
        </w:rPr>
        <w:t> </w:t>
      </w:r>
      <w:r>
        <w:rPr/>
        <w:t>A 25 percent increase</w:t>
      </w:r>
      <w:r>
        <w:rPr>
          <w:spacing w:val="-7"/>
        </w:rPr>
        <w:t> </w:t>
      </w:r>
      <w:r>
        <w:rPr/>
        <w:t>in</w:t>
      </w:r>
      <w:r>
        <w:rPr>
          <w:spacing w:val="-7"/>
        </w:rPr>
        <w:t> </w:t>
      </w:r>
      <w:r>
        <w:rPr/>
        <w:t>military</w:t>
      </w:r>
      <w:r>
        <w:rPr>
          <w:spacing w:val="-7"/>
        </w:rPr>
        <w:t> </w:t>
      </w:r>
      <w:r>
        <w:rPr/>
        <w:t>expenditures</w:t>
      </w:r>
      <w:r>
        <w:rPr>
          <w:spacing w:val="-7"/>
        </w:rPr>
        <w:t> </w:t>
      </w:r>
      <w:r>
        <w:rPr/>
        <w:t>was</w:t>
      </w:r>
      <w:r>
        <w:rPr>
          <w:spacing w:val="-7"/>
        </w:rPr>
        <w:t> </w:t>
      </w:r>
      <w:r>
        <w:rPr/>
        <w:t>associated</w:t>
      </w:r>
      <w:r>
        <w:rPr>
          <w:spacing w:val="-7"/>
        </w:rPr>
        <w:t> </w:t>
      </w:r>
      <w:r>
        <w:rPr/>
        <w:t>with</w:t>
      </w:r>
      <w:r>
        <w:rPr>
          <w:spacing w:val="-7"/>
        </w:rPr>
        <w:t> </w:t>
      </w:r>
      <w:r>
        <w:rPr/>
        <w:t>roughly</w:t>
      </w:r>
      <w:r>
        <w:rPr>
          <w:spacing w:val="-7"/>
        </w:rPr>
        <w:t> </w:t>
      </w:r>
      <w:r>
        <w:rPr/>
        <w:t>25</w:t>
      </w:r>
      <w:r>
        <w:rPr>
          <w:spacing w:val="-7"/>
        </w:rPr>
        <w:t> </w:t>
      </w:r>
      <w:r>
        <w:rPr/>
        <w:t>fewer</w:t>
      </w:r>
      <w:r>
        <w:rPr>
          <w:spacing w:val="-7"/>
        </w:rPr>
        <w:t> </w:t>
      </w:r>
      <w:r>
        <w:rPr/>
        <w:t>yearly</w:t>
      </w:r>
      <w:r>
        <w:rPr>
          <w:spacing w:val="-7"/>
        </w:rPr>
        <w:t> </w:t>
      </w:r>
      <w:r>
        <w:rPr/>
        <w:t>battle</w:t>
      </w:r>
      <w:r>
        <w:rPr>
          <w:spacing w:val="-7"/>
        </w:rPr>
        <w:t> </w:t>
      </w:r>
      <w:r>
        <w:rPr/>
        <w:t>deaths.</w:t>
      </w:r>
      <w:r>
        <w:rPr>
          <w:spacing w:val="9"/>
        </w:rPr>
        <w:t> </w:t>
      </w:r>
      <w:r>
        <w:rPr/>
        <w:t>This</w:t>
      </w:r>
      <w:r>
        <w:rPr>
          <w:spacing w:val="-7"/>
        </w:rPr>
        <w:t> </w:t>
      </w:r>
      <w:r>
        <w:rPr/>
        <w:t>result supports</w:t>
      </w:r>
      <w:r>
        <w:rPr>
          <w:spacing w:val="-2"/>
        </w:rPr>
        <w:t> </w:t>
      </w:r>
      <w:r>
        <w:rPr/>
        <w:t>the</w:t>
      </w:r>
      <w:r>
        <w:rPr>
          <w:spacing w:val="-2"/>
        </w:rPr>
        <w:t> </w:t>
      </w:r>
      <w:r>
        <w:rPr/>
        <w:t>general</w:t>
      </w:r>
      <w:r>
        <w:rPr>
          <w:spacing w:val="-2"/>
        </w:rPr>
        <w:t> </w:t>
      </w:r>
      <w:r>
        <w:rPr/>
        <w:t>hypothesis</w:t>
      </w:r>
      <w:r>
        <w:rPr>
          <w:spacing w:val="-2"/>
        </w:rPr>
        <w:t> </w:t>
      </w:r>
      <w:r>
        <w:rPr/>
        <w:t>that</w:t>
      </w:r>
      <w:r>
        <w:rPr>
          <w:spacing w:val="-2"/>
        </w:rPr>
        <w:t> </w:t>
      </w:r>
      <w:r>
        <w:rPr/>
        <w:t>military</w:t>
      </w:r>
      <w:r>
        <w:rPr>
          <w:spacing w:val="-2"/>
        </w:rPr>
        <w:t> </w:t>
      </w:r>
      <w:r>
        <w:rPr/>
        <w:t>expenditures</w:t>
      </w:r>
      <w:r>
        <w:rPr>
          <w:spacing w:val="-2"/>
        </w:rPr>
        <w:t> </w:t>
      </w:r>
      <w:r>
        <w:rPr/>
        <w:t>reduce</w:t>
      </w:r>
      <w:r>
        <w:rPr>
          <w:spacing w:val="-2"/>
        </w:rPr>
        <w:t> </w:t>
      </w:r>
      <w:r>
        <w:rPr/>
        <w:t>conflict</w:t>
      </w:r>
      <w:r>
        <w:rPr>
          <w:spacing w:val="-2"/>
        </w:rPr>
        <w:t> </w:t>
      </w:r>
      <w:r>
        <w:rPr/>
        <w:t>by</w:t>
      </w:r>
      <w:r>
        <w:rPr>
          <w:spacing w:val="-2"/>
        </w:rPr>
        <w:t> </w:t>
      </w:r>
      <w:r>
        <w:rPr/>
        <w:t>increasing</w:t>
      </w:r>
      <w:r>
        <w:rPr>
          <w:spacing w:val="-2"/>
        </w:rPr>
        <w:t> </w:t>
      </w:r>
      <w:r>
        <w:rPr/>
        <w:t>state</w:t>
      </w:r>
      <w:r>
        <w:rPr>
          <w:spacing w:val="-2"/>
        </w:rPr>
        <w:t> </w:t>
      </w:r>
      <w:r>
        <w:rPr/>
        <w:t>capacity and</w:t>
      </w:r>
      <w:r>
        <w:rPr>
          <w:spacing w:val="-13"/>
        </w:rPr>
        <w:t> </w:t>
      </w:r>
      <w:r>
        <w:rPr/>
        <w:t>dissuading</w:t>
      </w:r>
      <w:r>
        <w:rPr>
          <w:spacing w:val="-12"/>
        </w:rPr>
        <w:t> </w:t>
      </w:r>
      <w:r>
        <w:rPr/>
        <w:t>rebel</w:t>
      </w:r>
      <w:r>
        <w:rPr>
          <w:spacing w:val="-12"/>
        </w:rPr>
        <w:t> </w:t>
      </w:r>
      <w:r>
        <w:rPr/>
        <w:t>attacks.</w:t>
      </w:r>
      <w:r>
        <w:rPr>
          <w:spacing w:val="-12"/>
        </w:rPr>
        <w:t> </w:t>
      </w:r>
      <w:r>
        <w:rPr/>
        <w:t>It</w:t>
      </w:r>
      <w:r>
        <w:rPr>
          <w:spacing w:val="-12"/>
        </w:rPr>
        <w:t> </w:t>
      </w:r>
      <w:r>
        <w:rPr/>
        <w:t>also</w:t>
      </w:r>
      <w:r>
        <w:rPr>
          <w:spacing w:val="-12"/>
        </w:rPr>
        <w:t> </w:t>
      </w:r>
      <w:r>
        <w:rPr/>
        <w:t>helps</w:t>
      </w:r>
      <w:r>
        <w:rPr>
          <w:spacing w:val="-12"/>
        </w:rPr>
        <w:t> </w:t>
      </w:r>
      <w:r>
        <w:rPr/>
        <w:t>to</w:t>
      </w:r>
      <w:r>
        <w:rPr>
          <w:spacing w:val="-12"/>
        </w:rPr>
        <w:t> </w:t>
      </w:r>
      <w:r>
        <w:rPr/>
        <w:t>explain</w:t>
      </w:r>
      <w:r>
        <w:rPr>
          <w:spacing w:val="-12"/>
        </w:rPr>
        <w:t> </w:t>
      </w:r>
      <w:r>
        <w:rPr/>
        <w:t>why</w:t>
      </w:r>
      <w:r>
        <w:rPr>
          <w:spacing w:val="-12"/>
        </w:rPr>
        <w:t> </w:t>
      </w:r>
      <w:r>
        <w:rPr/>
        <w:t>higher</w:t>
      </w:r>
      <w:r>
        <w:rPr>
          <w:spacing w:val="-12"/>
        </w:rPr>
        <w:t> </w:t>
      </w:r>
      <w:r>
        <w:rPr/>
        <w:t>oil</w:t>
      </w:r>
      <w:r>
        <w:rPr>
          <w:spacing w:val="-12"/>
        </w:rPr>
        <w:t> </w:t>
      </w:r>
      <w:r>
        <w:rPr/>
        <w:t>prices</w:t>
      </w:r>
      <w:r>
        <w:rPr>
          <w:spacing w:val="-12"/>
        </w:rPr>
        <w:t> </w:t>
      </w:r>
      <w:r>
        <w:rPr/>
        <w:t>are</w:t>
      </w:r>
      <w:r>
        <w:rPr>
          <w:spacing w:val="-12"/>
        </w:rPr>
        <w:t> </w:t>
      </w:r>
      <w:r>
        <w:rPr/>
        <w:t>negatively</w:t>
      </w:r>
      <w:r>
        <w:rPr>
          <w:spacing w:val="-12"/>
        </w:rPr>
        <w:t> </w:t>
      </w:r>
      <w:r>
        <w:rPr/>
        <w:t>associated</w:t>
      </w:r>
      <w:r>
        <w:rPr>
          <w:spacing w:val="-12"/>
        </w:rPr>
        <w:t> </w:t>
      </w:r>
      <w:r>
        <w:rPr/>
        <w:t>with the</w:t>
      </w:r>
      <w:r>
        <w:rPr>
          <w:spacing w:val="-4"/>
        </w:rPr>
        <w:t> </w:t>
      </w:r>
      <w:r>
        <w:rPr/>
        <w:t>number</w:t>
      </w:r>
      <w:r>
        <w:rPr>
          <w:spacing w:val="-4"/>
        </w:rPr>
        <w:t> </w:t>
      </w:r>
      <w:r>
        <w:rPr/>
        <w:t>of</w:t>
      </w:r>
      <w:r>
        <w:rPr>
          <w:spacing w:val="-4"/>
        </w:rPr>
        <w:t> </w:t>
      </w:r>
      <w:r>
        <w:rPr/>
        <w:t>battle</w:t>
      </w:r>
      <w:r>
        <w:rPr>
          <w:spacing w:val="-4"/>
        </w:rPr>
        <w:t> </w:t>
      </w:r>
      <w:r>
        <w:rPr/>
        <w:t>deaths</w:t>
      </w:r>
      <w:r>
        <w:rPr>
          <w:spacing w:val="-4"/>
        </w:rPr>
        <w:t> </w:t>
      </w:r>
      <w:r>
        <w:rPr/>
        <w:t>in</w:t>
      </w:r>
      <w:r>
        <w:rPr>
          <w:spacing w:val="-4"/>
        </w:rPr>
        <w:t> </w:t>
      </w:r>
      <w:r>
        <w:rPr/>
        <w:t>oil</w:t>
      </w:r>
      <w:r>
        <w:rPr>
          <w:spacing w:val="-4"/>
        </w:rPr>
        <w:t> </w:t>
      </w:r>
      <w:r>
        <w:rPr/>
        <w:t>reliant</w:t>
      </w:r>
      <w:r>
        <w:rPr>
          <w:spacing w:val="-4"/>
        </w:rPr>
        <w:t> </w:t>
      </w:r>
      <w:r>
        <w:rPr/>
        <w:t>states</w:t>
      </w:r>
      <w:r>
        <w:rPr>
          <w:spacing w:val="-4"/>
        </w:rPr>
        <w:t> </w:t>
      </w:r>
      <w:r>
        <w:rPr/>
        <w:t>that</w:t>
      </w:r>
      <w:r>
        <w:rPr>
          <w:spacing w:val="-4"/>
        </w:rPr>
        <w:t> </w:t>
      </w:r>
      <w:r>
        <w:rPr/>
        <w:t>are</w:t>
      </w:r>
      <w:r>
        <w:rPr>
          <w:spacing w:val="-4"/>
        </w:rPr>
        <w:t> </w:t>
      </w:r>
      <w:r>
        <w:rPr/>
        <w:t>in</w:t>
      </w:r>
      <w:r>
        <w:rPr>
          <w:spacing w:val="-4"/>
        </w:rPr>
        <w:t> </w:t>
      </w:r>
      <w:r>
        <w:rPr/>
        <w:t>conflict,</w:t>
      </w:r>
      <w:r>
        <w:rPr>
          <w:spacing w:val="-3"/>
        </w:rPr>
        <w:t> </w:t>
      </w:r>
      <w:r>
        <w:rPr/>
        <w:t>because</w:t>
      </w:r>
      <w:r>
        <w:rPr>
          <w:spacing w:val="-4"/>
        </w:rPr>
        <w:t> </w:t>
      </w:r>
      <w:r>
        <w:rPr/>
        <w:t>it</w:t>
      </w:r>
      <w:r>
        <w:rPr>
          <w:spacing w:val="-4"/>
        </w:rPr>
        <w:t> </w:t>
      </w:r>
      <w:r>
        <w:rPr/>
        <w:t>links</w:t>
      </w:r>
      <w:r>
        <w:rPr>
          <w:spacing w:val="-4"/>
        </w:rPr>
        <w:t> </w:t>
      </w:r>
      <w:r>
        <w:rPr/>
        <w:t>the</w:t>
      </w:r>
      <w:r>
        <w:rPr>
          <w:spacing w:val="-4"/>
        </w:rPr>
        <w:t> </w:t>
      </w:r>
      <w:r>
        <w:rPr/>
        <w:t>results</w:t>
      </w:r>
      <w:r>
        <w:rPr>
          <w:spacing w:val="-4"/>
        </w:rPr>
        <w:t> </w:t>
      </w:r>
      <w:r>
        <w:rPr/>
        <w:t>from</w:t>
      </w:r>
      <w:r>
        <w:rPr>
          <w:spacing w:val="-4"/>
        </w:rPr>
        <w:t> </w:t>
      </w:r>
      <w:r>
        <w:rPr/>
        <w:t>H2 relating</w:t>
      </w:r>
      <w:r>
        <w:rPr>
          <w:spacing w:val="-6"/>
        </w:rPr>
        <w:t> </w:t>
      </w:r>
      <w:r>
        <w:rPr/>
        <w:t>to</w:t>
      </w:r>
      <w:r>
        <w:rPr>
          <w:spacing w:val="-6"/>
        </w:rPr>
        <w:t> </w:t>
      </w:r>
      <w:r>
        <w:rPr/>
        <w:t>military</w:t>
      </w:r>
      <w:r>
        <w:rPr>
          <w:spacing w:val="-6"/>
        </w:rPr>
        <w:t> </w:t>
      </w:r>
      <w:r>
        <w:rPr/>
        <w:t>expenditures</w:t>
      </w:r>
      <w:r>
        <w:rPr>
          <w:spacing w:val="-6"/>
        </w:rPr>
        <w:t> </w:t>
      </w:r>
      <w:r>
        <w:rPr/>
        <w:t>and</w:t>
      </w:r>
      <w:r>
        <w:rPr>
          <w:spacing w:val="-6"/>
        </w:rPr>
        <w:t> </w:t>
      </w:r>
      <w:r>
        <w:rPr/>
        <w:t>oil</w:t>
      </w:r>
      <w:r>
        <w:rPr>
          <w:spacing w:val="-6"/>
        </w:rPr>
        <w:t> </w:t>
      </w:r>
      <w:r>
        <w:rPr/>
        <w:t>prices</w:t>
      </w:r>
      <w:r>
        <w:rPr>
          <w:spacing w:val="-6"/>
        </w:rPr>
        <w:t> </w:t>
      </w:r>
      <w:r>
        <w:rPr/>
        <w:t>with</w:t>
      </w:r>
      <w:r>
        <w:rPr>
          <w:spacing w:val="-6"/>
        </w:rPr>
        <w:t> </w:t>
      </w:r>
      <w:r>
        <w:rPr/>
        <w:t>an</w:t>
      </w:r>
      <w:r>
        <w:rPr>
          <w:spacing w:val="-6"/>
        </w:rPr>
        <w:t> </w:t>
      </w:r>
      <w:r>
        <w:rPr/>
        <w:t>estimation</w:t>
      </w:r>
      <w:r>
        <w:rPr>
          <w:spacing w:val="-6"/>
        </w:rPr>
        <w:t> </w:t>
      </w:r>
      <w:r>
        <w:rPr/>
        <w:t>of</w:t>
      </w:r>
      <w:r>
        <w:rPr>
          <w:spacing w:val="-6"/>
        </w:rPr>
        <w:t> </w:t>
      </w:r>
      <w:r>
        <w:rPr/>
        <w:t>how</w:t>
      </w:r>
      <w:r>
        <w:rPr>
          <w:spacing w:val="-6"/>
        </w:rPr>
        <w:t> </w:t>
      </w:r>
      <w:r>
        <w:rPr/>
        <w:t>military</w:t>
      </w:r>
      <w:r>
        <w:rPr>
          <w:spacing w:val="-6"/>
        </w:rPr>
        <w:t> </w:t>
      </w:r>
      <w:r>
        <w:rPr/>
        <w:t>expenditures</w:t>
      </w:r>
      <w:r>
        <w:rPr>
          <w:spacing w:val="-6"/>
        </w:rPr>
        <w:t> </w:t>
      </w:r>
      <w:r>
        <w:rPr/>
        <w:t>in</w:t>
      </w:r>
      <w:r>
        <w:rPr>
          <w:spacing w:val="-6"/>
        </w:rPr>
        <w:t> </w:t>
      </w:r>
      <w:r>
        <w:rPr/>
        <w:t>turn impact battle deaths.</w:t>
      </w:r>
    </w:p>
    <w:p>
      <w:pPr>
        <w:spacing w:after="0" w:line="316" w:lineRule="auto"/>
        <w:jc w:val="both"/>
        <w:sectPr>
          <w:footerReference w:type="default" r:id="rId15"/>
          <w:pgSz w:w="12240" w:h="15840"/>
          <w:pgMar w:footer="1252" w:header="0" w:top="1100" w:bottom="1440" w:left="1280" w:right="40"/>
          <w:pgNumType w:start="1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6"/>
        </w:rPr>
      </w:pPr>
    </w:p>
    <w:p>
      <w:pPr>
        <w:pStyle w:val="BodyText"/>
        <w:spacing w:before="66"/>
        <w:ind w:left="1154"/>
      </w:pPr>
      <w:r>
        <w:rPr/>
        <w:t>Table</w:t>
      </w:r>
      <w:r>
        <w:rPr>
          <w:spacing w:val="1"/>
        </w:rPr>
        <w:t> </w:t>
      </w:r>
      <w:r>
        <w:rPr/>
        <w:t>4:</w:t>
      </w:r>
      <w:r>
        <w:rPr>
          <w:spacing w:val="18"/>
        </w:rPr>
        <w:t> </w:t>
      </w:r>
      <w:r>
        <w:rPr/>
        <w:t>Military</w:t>
      </w:r>
      <w:r>
        <w:rPr>
          <w:spacing w:val="2"/>
        </w:rPr>
        <w:t> </w:t>
      </w:r>
      <w:r>
        <w:rPr/>
        <w:t>Spending</w:t>
      </w:r>
      <w:r>
        <w:rPr>
          <w:spacing w:val="2"/>
        </w:rPr>
        <w:t> </w:t>
      </w:r>
      <w:r>
        <w:rPr/>
        <w:t>and</w:t>
      </w:r>
      <w:r>
        <w:rPr>
          <w:spacing w:val="1"/>
        </w:rPr>
        <w:t> </w:t>
      </w:r>
      <w:r>
        <w:rPr/>
        <w:t>Conflict</w:t>
      </w:r>
      <w:r>
        <w:rPr>
          <w:spacing w:val="2"/>
        </w:rPr>
        <w:t> </w:t>
      </w:r>
      <w:r>
        <w:rPr/>
        <w:t>Intensity</w:t>
      </w:r>
      <w:r>
        <w:rPr>
          <w:spacing w:val="2"/>
        </w:rPr>
        <w:t> </w:t>
      </w:r>
      <w:r>
        <w:rPr/>
        <w:t>in</w:t>
      </w:r>
      <w:r>
        <w:rPr>
          <w:spacing w:val="2"/>
        </w:rPr>
        <w:t> </w:t>
      </w:r>
      <w:r>
        <w:rPr/>
        <w:t>Oil</w:t>
      </w:r>
      <w:r>
        <w:rPr>
          <w:spacing w:val="2"/>
        </w:rPr>
        <w:t> </w:t>
      </w:r>
      <w:r>
        <w:rPr/>
        <w:t>Reliant</w:t>
      </w:r>
      <w:r>
        <w:rPr>
          <w:spacing w:val="2"/>
        </w:rPr>
        <w:t> </w:t>
      </w:r>
      <w:r>
        <w:rPr/>
        <w:t>Conflict</w:t>
      </w:r>
      <w:r>
        <w:rPr>
          <w:spacing w:val="1"/>
        </w:rPr>
        <w:t> </w:t>
      </w:r>
      <w:r>
        <w:rPr>
          <w:spacing w:val="-2"/>
        </w:rPr>
        <w:t>States</w:t>
      </w:r>
    </w:p>
    <w:p>
      <w:pPr>
        <w:pStyle w:val="BodyText"/>
        <w:spacing w:before="4"/>
        <w:rPr>
          <w:sz w:val="25"/>
        </w:rPr>
      </w:pPr>
      <w:r>
        <w:rPr/>
        <w:pict>
          <v:group style="position:absolute;margin-left:70.865997pt;margin-top:15.609262pt;width:443.6pt;height:2.4pt;mso-position-horizontal-relative:page;mso-position-vertical-relative:paragraph;z-index:-15717888;mso-wrap-distance-left:0;mso-wrap-distance-right:0" id="docshapegroup23" coordorigin="1417,312" coordsize="8872,48">
            <v:line style="position:absolute" from="1417,316" to="10289,316" stroked="true" strokeweight=".398pt" strokecolor="#000000">
              <v:stroke dashstyle="solid"/>
            </v:line>
            <v:line style="position:absolute" from="1417,356" to="10289,356" stroked="true" strokeweight=".398pt" strokecolor="#000000">
              <v:stroke dashstyle="solid"/>
            </v:line>
            <w10:wrap type="topAndBottom"/>
          </v:group>
        </w:pict>
      </w:r>
    </w:p>
    <w:p>
      <w:pPr>
        <w:spacing w:before="63" w:after="30"/>
        <w:ind w:left="2789" w:right="2786" w:firstLine="0"/>
        <w:jc w:val="center"/>
        <w:rPr>
          <w:rFonts w:ascii="Bookman Old Style"/>
          <w:b w:val="0"/>
          <w:i/>
          <w:sz w:val="20"/>
        </w:rPr>
      </w:pPr>
      <w:r>
        <w:rPr>
          <w:rFonts w:ascii="Bookman Old Style"/>
          <w:b w:val="0"/>
          <w:i/>
          <w:spacing w:val="-2"/>
          <w:w w:val="90"/>
          <w:sz w:val="20"/>
        </w:rPr>
        <w:t>Dependent</w:t>
      </w:r>
      <w:r>
        <w:rPr>
          <w:rFonts w:ascii="Bookman Old Style"/>
          <w:b w:val="0"/>
          <w:i/>
          <w:spacing w:val="1"/>
          <w:sz w:val="20"/>
        </w:rPr>
        <w:t> </w:t>
      </w:r>
      <w:r>
        <w:rPr>
          <w:rFonts w:ascii="Bookman Old Style"/>
          <w:b w:val="0"/>
          <w:i/>
          <w:spacing w:val="-2"/>
          <w:sz w:val="20"/>
        </w:rPr>
        <w:t>variable:</w:t>
      </w: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9"/>
        <w:gridCol w:w="2058"/>
        <w:gridCol w:w="2597"/>
        <w:gridCol w:w="2428"/>
      </w:tblGrid>
      <w:tr>
        <w:trPr>
          <w:trHeight w:val="637" w:hRule="atLeast"/>
        </w:trPr>
        <w:tc>
          <w:tcPr>
            <w:tcW w:w="1789" w:type="dxa"/>
            <w:tcBorders>
              <w:bottom w:val="single" w:sz="4" w:space="0" w:color="000000"/>
            </w:tcBorders>
          </w:tcPr>
          <w:p>
            <w:pPr>
              <w:pStyle w:val="TableParagraph"/>
              <w:jc w:val="left"/>
              <w:rPr>
                <w:rFonts w:ascii="Times New Roman"/>
                <w:sz w:val="18"/>
              </w:rPr>
            </w:pPr>
          </w:p>
        </w:tc>
        <w:tc>
          <w:tcPr>
            <w:tcW w:w="2058" w:type="dxa"/>
            <w:tcBorders>
              <w:top w:val="single" w:sz="4" w:space="0" w:color="000000"/>
              <w:bottom w:val="single" w:sz="4" w:space="0" w:color="000000"/>
            </w:tcBorders>
          </w:tcPr>
          <w:p>
            <w:pPr>
              <w:pStyle w:val="TableParagraph"/>
              <w:jc w:val="left"/>
              <w:rPr>
                <w:rFonts w:ascii="Bookman Old Style"/>
                <w:b w:val="0"/>
                <w:i/>
                <w:sz w:val="20"/>
              </w:rPr>
            </w:pPr>
          </w:p>
          <w:p>
            <w:pPr>
              <w:pStyle w:val="TableParagraph"/>
              <w:spacing w:before="148"/>
              <w:ind w:left="391" w:right="299"/>
              <w:rPr>
                <w:sz w:val="20"/>
              </w:rPr>
            </w:pPr>
            <w:r>
              <w:rPr>
                <w:sz w:val="20"/>
              </w:rPr>
              <w:t>(All</w:t>
            </w:r>
            <w:r>
              <w:rPr>
                <w:spacing w:val="24"/>
                <w:sz w:val="20"/>
              </w:rPr>
              <w:t> </w:t>
            </w:r>
            <w:r>
              <w:rPr>
                <w:sz w:val="20"/>
              </w:rPr>
              <w:t>Oil</w:t>
            </w:r>
            <w:r>
              <w:rPr>
                <w:spacing w:val="24"/>
                <w:sz w:val="20"/>
              </w:rPr>
              <w:t> </w:t>
            </w:r>
            <w:r>
              <w:rPr>
                <w:spacing w:val="-2"/>
                <w:sz w:val="20"/>
              </w:rPr>
              <w:t>States)</w:t>
            </w:r>
          </w:p>
        </w:tc>
        <w:tc>
          <w:tcPr>
            <w:tcW w:w="2597" w:type="dxa"/>
            <w:tcBorders>
              <w:top w:val="single" w:sz="4" w:space="0" w:color="000000"/>
              <w:bottom w:val="single" w:sz="4" w:space="0" w:color="000000"/>
            </w:tcBorders>
          </w:tcPr>
          <w:p>
            <w:pPr>
              <w:pStyle w:val="TableParagraph"/>
              <w:spacing w:before="59"/>
              <w:ind w:right="152"/>
              <w:jc w:val="right"/>
              <w:rPr>
                <w:sz w:val="20"/>
              </w:rPr>
            </w:pPr>
            <w:r>
              <w:rPr>
                <w:sz w:val="20"/>
              </w:rPr>
              <w:t>Battle</w:t>
            </w:r>
            <w:r>
              <w:rPr>
                <w:spacing w:val="11"/>
                <w:sz w:val="20"/>
              </w:rPr>
              <w:t> </w:t>
            </w:r>
            <w:r>
              <w:rPr>
                <w:sz w:val="20"/>
              </w:rPr>
              <w:t>deaths</w:t>
            </w:r>
            <w:r>
              <w:rPr>
                <w:spacing w:val="12"/>
                <w:sz w:val="20"/>
              </w:rPr>
              <w:t> </w:t>
            </w:r>
            <w:r>
              <w:rPr>
                <w:spacing w:val="-2"/>
                <w:sz w:val="20"/>
              </w:rPr>
              <w:t>(yearly)</w:t>
            </w:r>
          </w:p>
          <w:p>
            <w:pPr>
              <w:pStyle w:val="TableParagraph"/>
              <w:spacing w:before="97"/>
              <w:ind w:right="182"/>
              <w:jc w:val="right"/>
              <w:rPr>
                <w:sz w:val="20"/>
              </w:rPr>
            </w:pPr>
            <w:r>
              <w:rPr>
                <w:spacing w:val="-2"/>
                <w:sz w:val="20"/>
              </w:rPr>
              <w:t>(Low</w:t>
            </w:r>
            <w:r>
              <w:rPr>
                <w:spacing w:val="6"/>
                <w:sz w:val="20"/>
              </w:rPr>
              <w:t> </w:t>
            </w:r>
            <w:r>
              <w:rPr>
                <w:spacing w:val="-2"/>
                <w:sz w:val="20"/>
              </w:rPr>
              <w:t>Intensity</w:t>
            </w:r>
            <w:r>
              <w:rPr>
                <w:spacing w:val="7"/>
                <w:sz w:val="20"/>
              </w:rPr>
              <w:t> </w:t>
            </w:r>
            <w:r>
              <w:rPr>
                <w:spacing w:val="-2"/>
                <w:sz w:val="20"/>
              </w:rPr>
              <w:t>Conflict)</w:t>
            </w:r>
          </w:p>
        </w:tc>
        <w:tc>
          <w:tcPr>
            <w:tcW w:w="2428" w:type="dxa"/>
            <w:tcBorders>
              <w:top w:val="single" w:sz="4" w:space="0" w:color="000000"/>
              <w:bottom w:val="single" w:sz="4" w:space="0" w:color="000000"/>
            </w:tcBorders>
          </w:tcPr>
          <w:p>
            <w:pPr>
              <w:pStyle w:val="TableParagraph"/>
              <w:jc w:val="left"/>
              <w:rPr>
                <w:rFonts w:ascii="Bookman Old Style"/>
                <w:b w:val="0"/>
                <w:i/>
                <w:sz w:val="20"/>
              </w:rPr>
            </w:pPr>
          </w:p>
          <w:p>
            <w:pPr>
              <w:pStyle w:val="TableParagraph"/>
              <w:spacing w:before="148"/>
              <w:ind w:left="146" w:right="111"/>
              <w:rPr>
                <w:sz w:val="20"/>
              </w:rPr>
            </w:pPr>
            <w:r>
              <w:rPr>
                <w:spacing w:val="-2"/>
                <w:sz w:val="20"/>
              </w:rPr>
              <w:t>(High</w:t>
            </w:r>
            <w:r>
              <w:rPr>
                <w:spacing w:val="1"/>
                <w:sz w:val="20"/>
              </w:rPr>
              <w:t> </w:t>
            </w:r>
            <w:r>
              <w:rPr>
                <w:spacing w:val="-2"/>
                <w:sz w:val="20"/>
              </w:rPr>
              <w:t>Intensity</w:t>
            </w:r>
            <w:r>
              <w:rPr>
                <w:spacing w:val="2"/>
                <w:sz w:val="20"/>
              </w:rPr>
              <w:t> </w:t>
            </w:r>
            <w:r>
              <w:rPr>
                <w:spacing w:val="-2"/>
                <w:sz w:val="20"/>
              </w:rPr>
              <w:t>Conflict)</w:t>
            </w:r>
          </w:p>
        </w:tc>
      </w:tr>
      <w:tr>
        <w:trPr>
          <w:trHeight w:val="320" w:hRule="atLeast"/>
        </w:trPr>
        <w:tc>
          <w:tcPr>
            <w:tcW w:w="1789" w:type="dxa"/>
            <w:tcBorders>
              <w:top w:val="single" w:sz="4" w:space="0" w:color="000000"/>
            </w:tcBorders>
          </w:tcPr>
          <w:p>
            <w:pPr>
              <w:pStyle w:val="TableParagraph"/>
              <w:spacing w:before="67"/>
              <w:jc w:val="left"/>
              <w:rPr>
                <w:sz w:val="20"/>
              </w:rPr>
            </w:pPr>
            <w:r>
              <w:rPr>
                <w:spacing w:val="-2"/>
                <w:sz w:val="20"/>
              </w:rPr>
              <w:t>log(milex)</w:t>
            </w:r>
          </w:p>
        </w:tc>
        <w:tc>
          <w:tcPr>
            <w:tcW w:w="2058" w:type="dxa"/>
            <w:tcBorders>
              <w:top w:val="single" w:sz="4" w:space="0" w:color="000000"/>
            </w:tcBorders>
          </w:tcPr>
          <w:p>
            <w:pPr>
              <w:pStyle w:val="TableParagraph"/>
              <w:spacing w:before="67"/>
              <w:ind w:left="391" w:right="299"/>
              <w:rPr>
                <w:sz w:val="20"/>
              </w:rPr>
            </w:pPr>
            <w:r>
              <w:rPr>
                <w:spacing w:val="-2"/>
                <w:sz w:val="20"/>
              </w:rPr>
              <w:t>552.724</w:t>
            </w:r>
          </w:p>
        </w:tc>
        <w:tc>
          <w:tcPr>
            <w:tcW w:w="2597" w:type="dxa"/>
            <w:tcBorders>
              <w:top w:val="single" w:sz="4" w:space="0" w:color="000000"/>
            </w:tcBorders>
          </w:tcPr>
          <w:p>
            <w:pPr>
              <w:pStyle w:val="TableParagraph"/>
              <w:spacing w:line="269" w:lineRule="exact" w:before="31"/>
              <w:ind w:left="862" w:right="747"/>
              <w:rPr>
                <w:rFonts w:ascii="Lucida Sans Unicode" w:hAnsi="Lucida Sans Unicode"/>
                <w:sz w:val="20"/>
              </w:rPr>
            </w:pPr>
            <w:r>
              <w:rPr>
                <w:rFonts w:ascii="Lucida Sans Unicode" w:hAnsi="Lucida Sans Unicode"/>
                <w:spacing w:val="-2"/>
                <w:sz w:val="20"/>
              </w:rPr>
              <w:t>−</w:t>
            </w:r>
            <w:r>
              <w:rPr>
                <w:spacing w:val="-2"/>
                <w:sz w:val="20"/>
              </w:rPr>
              <w:t>106.947</w:t>
            </w:r>
            <w:r>
              <w:rPr>
                <w:rFonts w:ascii="Lucida Sans Unicode" w:hAnsi="Lucida Sans Unicode"/>
                <w:spacing w:val="-2"/>
                <w:sz w:val="20"/>
                <w:vertAlign w:val="superscript"/>
              </w:rPr>
              <w:t>∗</w:t>
            </w:r>
          </w:p>
        </w:tc>
        <w:tc>
          <w:tcPr>
            <w:tcW w:w="2428" w:type="dxa"/>
            <w:tcBorders>
              <w:top w:val="single" w:sz="4" w:space="0" w:color="000000"/>
            </w:tcBorders>
          </w:tcPr>
          <w:p>
            <w:pPr>
              <w:pStyle w:val="TableParagraph"/>
              <w:spacing w:before="67"/>
              <w:ind w:left="144" w:right="111"/>
              <w:rPr>
                <w:sz w:val="20"/>
              </w:rPr>
            </w:pPr>
            <w:r>
              <w:rPr>
                <w:spacing w:val="-2"/>
                <w:sz w:val="20"/>
              </w:rPr>
              <w:t>1,584.703</w:t>
            </w:r>
          </w:p>
        </w:tc>
      </w:tr>
      <w:tr>
        <w:trPr>
          <w:trHeight w:val="342" w:hRule="atLeast"/>
        </w:trPr>
        <w:tc>
          <w:tcPr>
            <w:tcW w:w="1789" w:type="dxa"/>
          </w:tcPr>
          <w:p>
            <w:pPr>
              <w:pStyle w:val="TableParagraph"/>
              <w:jc w:val="left"/>
              <w:rPr>
                <w:rFonts w:ascii="Times New Roman"/>
                <w:sz w:val="18"/>
              </w:rPr>
            </w:pPr>
          </w:p>
        </w:tc>
        <w:tc>
          <w:tcPr>
            <w:tcW w:w="2058" w:type="dxa"/>
          </w:tcPr>
          <w:p>
            <w:pPr>
              <w:pStyle w:val="TableParagraph"/>
              <w:spacing w:line="213" w:lineRule="exact"/>
              <w:ind w:left="391" w:right="299"/>
              <w:rPr>
                <w:sz w:val="20"/>
              </w:rPr>
            </w:pPr>
            <w:r>
              <w:rPr>
                <w:spacing w:val="-2"/>
                <w:sz w:val="20"/>
              </w:rPr>
              <w:t>(430.128)</w:t>
            </w:r>
          </w:p>
        </w:tc>
        <w:tc>
          <w:tcPr>
            <w:tcW w:w="2597" w:type="dxa"/>
          </w:tcPr>
          <w:p>
            <w:pPr>
              <w:pStyle w:val="TableParagraph"/>
              <w:spacing w:line="213" w:lineRule="exact"/>
              <w:ind w:left="862" w:right="734"/>
              <w:rPr>
                <w:sz w:val="20"/>
              </w:rPr>
            </w:pPr>
            <w:r>
              <w:rPr>
                <w:spacing w:val="-2"/>
                <w:sz w:val="20"/>
              </w:rPr>
              <w:t>(56.211)</w:t>
            </w:r>
          </w:p>
        </w:tc>
        <w:tc>
          <w:tcPr>
            <w:tcW w:w="2428" w:type="dxa"/>
          </w:tcPr>
          <w:p>
            <w:pPr>
              <w:pStyle w:val="TableParagraph"/>
              <w:spacing w:line="213" w:lineRule="exact"/>
              <w:ind w:left="146" w:right="108"/>
              <w:rPr>
                <w:sz w:val="20"/>
              </w:rPr>
            </w:pPr>
            <w:r>
              <w:rPr>
                <w:spacing w:val="-2"/>
                <w:sz w:val="20"/>
              </w:rPr>
              <w:t>(1,522.129)</w:t>
            </w:r>
          </w:p>
        </w:tc>
      </w:tr>
      <w:tr>
        <w:trPr>
          <w:trHeight w:val="375" w:hRule="atLeast"/>
        </w:trPr>
        <w:tc>
          <w:tcPr>
            <w:tcW w:w="1789" w:type="dxa"/>
          </w:tcPr>
          <w:p>
            <w:pPr>
              <w:pStyle w:val="TableParagraph"/>
              <w:spacing w:before="122"/>
              <w:jc w:val="left"/>
              <w:rPr>
                <w:sz w:val="20"/>
              </w:rPr>
            </w:pPr>
            <w:r>
              <w:rPr>
                <w:sz w:val="20"/>
              </w:rPr>
              <w:t>Battle</w:t>
            </w:r>
            <w:r>
              <w:rPr>
                <w:spacing w:val="20"/>
                <w:sz w:val="20"/>
              </w:rPr>
              <w:t> </w:t>
            </w:r>
            <w:r>
              <w:rPr>
                <w:sz w:val="20"/>
              </w:rPr>
              <w:t>deaths(t-</w:t>
            </w:r>
            <w:r>
              <w:rPr>
                <w:spacing w:val="-5"/>
                <w:sz w:val="20"/>
              </w:rPr>
              <w:t>1)</w:t>
            </w:r>
          </w:p>
        </w:tc>
        <w:tc>
          <w:tcPr>
            <w:tcW w:w="2058" w:type="dxa"/>
          </w:tcPr>
          <w:p>
            <w:pPr>
              <w:pStyle w:val="TableParagraph"/>
              <w:spacing w:line="269" w:lineRule="exact" w:before="86"/>
              <w:ind w:left="380" w:right="299"/>
              <w:rPr>
                <w:rFonts w:ascii="Lucida Sans Unicode" w:hAnsi="Lucida Sans Unicode"/>
                <w:sz w:val="20"/>
              </w:rPr>
            </w:pPr>
            <w:r>
              <w:rPr>
                <w:spacing w:val="-2"/>
                <w:w w:val="95"/>
                <w:sz w:val="20"/>
              </w:rPr>
              <w:t>0.472</w:t>
            </w:r>
            <w:r>
              <w:rPr>
                <w:rFonts w:ascii="Lucida Sans Unicode" w:hAnsi="Lucida Sans Unicode"/>
                <w:spacing w:val="-2"/>
                <w:w w:val="95"/>
                <w:sz w:val="20"/>
                <w:vertAlign w:val="superscript"/>
              </w:rPr>
              <w:t>∗∗∗</w:t>
            </w:r>
          </w:p>
        </w:tc>
        <w:tc>
          <w:tcPr>
            <w:tcW w:w="2597" w:type="dxa"/>
          </w:tcPr>
          <w:p>
            <w:pPr>
              <w:pStyle w:val="TableParagraph"/>
              <w:spacing w:before="122"/>
              <w:ind w:left="862" w:right="737"/>
              <w:rPr>
                <w:sz w:val="20"/>
              </w:rPr>
            </w:pPr>
            <w:r>
              <w:rPr>
                <w:spacing w:val="-2"/>
                <w:w w:val="95"/>
                <w:sz w:val="20"/>
              </w:rPr>
              <w:t>0.049</w:t>
            </w:r>
          </w:p>
        </w:tc>
        <w:tc>
          <w:tcPr>
            <w:tcW w:w="2428" w:type="dxa"/>
          </w:tcPr>
          <w:p>
            <w:pPr>
              <w:pStyle w:val="TableParagraph"/>
              <w:spacing w:before="122"/>
              <w:ind w:left="144" w:right="111"/>
              <w:rPr>
                <w:sz w:val="20"/>
              </w:rPr>
            </w:pPr>
            <w:r>
              <w:rPr>
                <w:spacing w:val="-2"/>
                <w:w w:val="95"/>
                <w:sz w:val="20"/>
              </w:rPr>
              <w:t>0.046</w:t>
            </w:r>
          </w:p>
        </w:tc>
      </w:tr>
      <w:tr>
        <w:trPr>
          <w:trHeight w:val="342" w:hRule="atLeast"/>
        </w:trPr>
        <w:tc>
          <w:tcPr>
            <w:tcW w:w="1789" w:type="dxa"/>
          </w:tcPr>
          <w:p>
            <w:pPr>
              <w:pStyle w:val="TableParagraph"/>
              <w:jc w:val="left"/>
              <w:rPr>
                <w:rFonts w:ascii="Times New Roman"/>
                <w:sz w:val="18"/>
              </w:rPr>
            </w:pPr>
          </w:p>
        </w:tc>
        <w:tc>
          <w:tcPr>
            <w:tcW w:w="2058" w:type="dxa"/>
          </w:tcPr>
          <w:p>
            <w:pPr>
              <w:pStyle w:val="TableParagraph"/>
              <w:spacing w:line="213" w:lineRule="exact"/>
              <w:ind w:left="391" w:right="299"/>
              <w:rPr>
                <w:sz w:val="20"/>
              </w:rPr>
            </w:pPr>
            <w:r>
              <w:rPr>
                <w:spacing w:val="-2"/>
                <w:sz w:val="20"/>
              </w:rPr>
              <w:t>(0.092)</w:t>
            </w:r>
          </w:p>
        </w:tc>
        <w:tc>
          <w:tcPr>
            <w:tcW w:w="2597" w:type="dxa"/>
          </w:tcPr>
          <w:p>
            <w:pPr>
              <w:pStyle w:val="TableParagraph"/>
              <w:spacing w:line="213" w:lineRule="exact"/>
              <w:ind w:left="862" w:right="735"/>
              <w:rPr>
                <w:sz w:val="20"/>
              </w:rPr>
            </w:pPr>
            <w:r>
              <w:rPr>
                <w:spacing w:val="-2"/>
                <w:sz w:val="20"/>
              </w:rPr>
              <w:t>(0.030)</w:t>
            </w:r>
          </w:p>
        </w:tc>
        <w:tc>
          <w:tcPr>
            <w:tcW w:w="2428" w:type="dxa"/>
          </w:tcPr>
          <w:p>
            <w:pPr>
              <w:pStyle w:val="TableParagraph"/>
              <w:spacing w:line="213" w:lineRule="exact"/>
              <w:ind w:left="146" w:right="109"/>
              <w:rPr>
                <w:sz w:val="20"/>
              </w:rPr>
            </w:pPr>
            <w:r>
              <w:rPr>
                <w:spacing w:val="-2"/>
                <w:sz w:val="20"/>
              </w:rPr>
              <w:t>(0.246)</w:t>
            </w:r>
          </w:p>
        </w:tc>
      </w:tr>
      <w:tr>
        <w:trPr>
          <w:trHeight w:val="375" w:hRule="atLeast"/>
        </w:trPr>
        <w:tc>
          <w:tcPr>
            <w:tcW w:w="1789" w:type="dxa"/>
          </w:tcPr>
          <w:p>
            <w:pPr>
              <w:pStyle w:val="TableParagraph"/>
              <w:spacing w:before="122"/>
              <w:jc w:val="left"/>
              <w:rPr>
                <w:sz w:val="20"/>
              </w:rPr>
            </w:pPr>
            <w:r>
              <w:rPr>
                <w:spacing w:val="-2"/>
                <w:sz w:val="20"/>
              </w:rPr>
              <w:t>log(Population)</w:t>
            </w:r>
          </w:p>
        </w:tc>
        <w:tc>
          <w:tcPr>
            <w:tcW w:w="2058" w:type="dxa"/>
          </w:tcPr>
          <w:p>
            <w:pPr>
              <w:pStyle w:val="TableParagraph"/>
              <w:spacing w:line="269" w:lineRule="exact" w:before="86"/>
              <w:ind w:left="380" w:right="299"/>
              <w:rPr>
                <w:rFonts w:ascii="Lucida Sans Unicode" w:hAnsi="Lucida Sans Unicode"/>
                <w:sz w:val="20"/>
              </w:rPr>
            </w:pPr>
            <w:r>
              <w:rPr>
                <w:spacing w:val="-2"/>
                <w:sz w:val="20"/>
              </w:rPr>
              <w:t>6,438.542</w:t>
            </w:r>
            <w:r>
              <w:rPr>
                <w:rFonts w:ascii="Lucida Sans Unicode" w:hAnsi="Lucida Sans Unicode"/>
                <w:spacing w:val="-2"/>
                <w:sz w:val="20"/>
                <w:vertAlign w:val="superscript"/>
              </w:rPr>
              <w:t>∗</w:t>
            </w:r>
          </w:p>
        </w:tc>
        <w:tc>
          <w:tcPr>
            <w:tcW w:w="2597" w:type="dxa"/>
          </w:tcPr>
          <w:p>
            <w:pPr>
              <w:pStyle w:val="TableParagraph"/>
              <w:spacing w:before="122"/>
              <w:ind w:left="862" w:right="737"/>
              <w:rPr>
                <w:sz w:val="20"/>
              </w:rPr>
            </w:pPr>
            <w:r>
              <w:rPr>
                <w:spacing w:val="-2"/>
                <w:sz w:val="20"/>
              </w:rPr>
              <w:t>91.047</w:t>
            </w:r>
          </w:p>
        </w:tc>
        <w:tc>
          <w:tcPr>
            <w:tcW w:w="2428" w:type="dxa"/>
          </w:tcPr>
          <w:p>
            <w:pPr>
              <w:pStyle w:val="TableParagraph"/>
              <w:spacing w:before="122"/>
              <w:ind w:left="144" w:right="111"/>
              <w:rPr>
                <w:sz w:val="20"/>
              </w:rPr>
            </w:pPr>
            <w:r>
              <w:rPr>
                <w:spacing w:val="-2"/>
                <w:sz w:val="20"/>
              </w:rPr>
              <w:t>73,134.420</w:t>
            </w:r>
          </w:p>
        </w:tc>
      </w:tr>
      <w:tr>
        <w:trPr>
          <w:trHeight w:val="342" w:hRule="atLeast"/>
        </w:trPr>
        <w:tc>
          <w:tcPr>
            <w:tcW w:w="1789" w:type="dxa"/>
          </w:tcPr>
          <w:p>
            <w:pPr>
              <w:pStyle w:val="TableParagraph"/>
              <w:jc w:val="left"/>
              <w:rPr>
                <w:rFonts w:ascii="Times New Roman"/>
                <w:sz w:val="18"/>
              </w:rPr>
            </w:pPr>
          </w:p>
        </w:tc>
        <w:tc>
          <w:tcPr>
            <w:tcW w:w="2058" w:type="dxa"/>
          </w:tcPr>
          <w:p>
            <w:pPr>
              <w:pStyle w:val="TableParagraph"/>
              <w:spacing w:line="213" w:lineRule="exact"/>
              <w:ind w:left="391" w:right="299"/>
              <w:rPr>
                <w:sz w:val="20"/>
              </w:rPr>
            </w:pPr>
            <w:r>
              <w:rPr>
                <w:spacing w:val="-2"/>
                <w:sz w:val="20"/>
              </w:rPr>
              <w:t>(3,508.574)</w:t>
            </w:r>
          </w:p>
        </w:tc>
        <w:tc>
          <w:tcPr>
            <w:tcW w:w="2597" w:type="dxa"/>
          </w:tcPr>
          <w:p>
            <w:pPr>
              <w:pStyle w:val="TableParagraph"/>
              <w:spacing w:line="213" w:lineRule="exact"/>
              <w:ind w:left="862" w:right="733"/>
              <w:rPr>
                <w:sz w:val="20"/>
              </w:rPr>
            </w:pPr>
            <w:r>
              <w:rPr>
                <w:spacing w:val="-2"/>
                <w:sz w:val="20"/>
              </w:rPr>
              <w:t>(363.617)</w:t>
            </w:r>
          </w:p>
        </w:tc>
        <w:tc>
          <w:tcPr>
            <w:tcW w:w="2428" w:type="dxa"/>
          </w:tcPr>
          <w:p>
            <w:pPr>
              <w:pStyle w:val="TableParagraph"/>
              <w:spacing w:line="213" w:lineRule="exact"/>
              <w:ind w:left="146" w:right="107"/>
              <w:rPr>
                <w:sz w:val="20"/>
              </w:rPr>
            </w:pPr>
            <w:r>
              <w:rPr>
                <w:spacing w:val="-2"/>
                <w:sz w:val="20"/>
              </w:rPr>
              <w:t>(48,482.200)</w:t>
            </w:r>
          </w:p>
        </w:tc>
      </w:tr>
      <w:tr>
        <w:trPr>
          <w:trHeight w:val="375" w:hRule="atLeast"/>
        </w:trPr>
        <w:tc>
          <w:tcPr>
            <w:tcW w:w="1789" w:type="dxa"/>
          </w:tcPr>
          <w:p>
            <w:pPr>
              <w:pStyle w:val="TableParagraph"/>
              <w:spacing w:before="122"/>
              <w:jc w:val="left"/>
              <w:rPr>
                <w:sz w:val="20"/>
              </w:rPr>
            </w:pPr>
            <w:r>
              <w:rPr>
                <w:sz w:val="20"/>
              </w:rPr>
              <w:t>Sec</w:t>
            </w:r>
            <w:r>
              <w:rPr>
                <w:spacing w:val="3"/>
                <w:sz w:val="20"/>
              </w:rPr>
              <w:t> </w:t>
            </w:r>
            <w:r>
              <w:rPr>
                <w:spacing w:val="-4"/>
                <w:sz w:val="20"/>
              </w:rPr>
              <w:t>score</w:t>
            </w:r>
          </w:p>
        </w:tc>
        <w:tc>
          <w:tcPr>
            <w:tcW w:w="2058" w:type="dxa"/>
          </w:tcPr>
          <w:p>
            <w:pPr>
              <w:pStyle w:val="TableParagraph"/>
              <w:spacing w:before="122"/>
              <w:ind w:left="390" w:right="299"/>
              <w:rPr>
                <w:sz w:val="20"/>
              </w:rPr>
            </w:pPr>
            <w:r>
              <w:rPr>
                <w:spacing w:val="-2"/>
                <w:sz w:val="20"/>
              </w:rPr>
              <w:t>144.797</w:t>
            </w:r>
          </w:p>
        </w:tc>
        <w:tc>
          <w:tcPr>
            <w:tcW w:w="2597" w:type="dxa"/>
          </w:tcPr>
          <w:p>
            <w:pPr>
              <w:pStyle w:val="TableParagraph"/>
              <w:spacing w:line="269" w:lineRule="exact" w:before="86"/>
              <w:ind w:left="862" w:right="737"/>
              <w:rPr>
                <w:sz w:val="20"/>
              </w:rPr>
            </w:pPr>
            <w:r>
              <w:rPr>
                <w:rFonts w:ascii="Lucida Sans Unicode" w:hAnsi="Lucida Sans Unicode"/>
                <w:spacing w:val="-2"/>
                <w:sz w:val="20"/>
              </w:rPr>
              <w:t>−</w:t>
            </w:r>
            <w:r>
              <w:rPr>
                <w:spacing w:val="-2"/>
                <w:sz w:val="20"/>
              </w:rPr>
              <w:t>54.749</w:t>
            </w:r>
          </w:p>
        </w:tc>
        <w:tc>
          <w:tcPr>
            <w:tcW w:w="2428" w:type="dxa"/>
          </w:tcPr>
          <w:p>
            <w:pPr>
              <w:pStyle w:val="TableParagraph"/>
              <w:spacing w:line="269" w:lineRule="exact" w:before="86"/>
              <w:ind w:left="134" w:right="111"/>
              <w:rPr>
                <w:rFonts w:ascii="Lucida Sans Unicode" w:hAnsi="Lucida Sans Unicode"/>
                <w:sz w:val="20"/>
              </w:rPr>
            </w:pPr>
            <w:r>
              <w:rPr>
                <w:rFonts w:ascii="Lucida Sans Unicode" w:hAnsi="Lucida Sans Unicode"/>
                <w:spacing w:val="-2"/>
                <w:sz w:val="20"/>
              </w:rPr>
              <w:t>−</w:t>
            </w:r>
            <w:r>
              <w:rPr>
                <w:spacing w:val="-2"/>
                <w:sz w:val="20"/>
              </w:rPr>
              <w:t>8,809.556</w:t>
            </w:r>
            <w:r>
              <w:rPr>
                <w:rFonts w:ascii="Lucida Sans Unicode" w:hAnsi="Lucida Sans Unicode"/>
                <w:spacing w:val="-2"/>
                <w:sz w:val="20"/>
                <w:vertAlign w:val="superscript"/>
              </w:rPr>
              <w:t>∗∗</w:t>
            </w:r>
          </w:p>
        </w:tc>
      </w:tr>
      <w:tr>
        <w:trPr>
          <w:trHeight w:val="342" w:hRule="atLeast"/>
        </w:trPr>
        <w:tc>
          <w:tcPr>
            <w:tcW w:w="1789" w:type="dxa"/>
          </w:tcPr>
          <w:p>
            <w:pPr>
              <w:pStyle w:val="TableParagraph"/>
              <w:jc w:val="left"/>
              <w:rPr>
                <w:rFonts w:ascii="Times New Roman"/>
                <w:sz w:val="18"/>
              </w:rPr>
            </w:pPr>
          </w:p>
        </w:tc>
        <w:tc>
          <w:tcPr>
            <w:tcW w:w="2058" w:type="dxa"/>
          </w:tcPr>
          <w:p>
            <w:pPr>
              <w:pStyle w:val="TableParagraph"/>
              <w:spacing w:line="213" w:lineRule="exact"/>
              <w:ind w:left="391" w:right="299"/>
              <w:rPr>
                <w:sz w:val="20"/>
              </w:rPr>
            </w:pPr>
            <w:r>
              <w:rPr>
                <w:spacing w:val="-2"/>
                <w:sz w:val="20"/>
              </w:rPr>
              <w:t>(529.507)</w:t>
            </w:r>
          </w:p>
        </w:tc>
        <w:tc>
          <w:tcPr>
            <w:tcW w:w="2597" w:type="dxa"/>
          </w:tcPr>
          <w:p>
            <w:pPr>
              <w:pStyle w:val="TableParagraph"/>
              <w:spacing w:line="213" w:lineRule="exact"/>
              <w:ind w:left="862" w:right="734"/>
              <w:rPr>
                <w:sz w:val="20"/>
              </w:rPr>
            </w:pPr>
            <w:r>
              <w:rPr>
                <w:spacing w:val="-2"/>
                <w:sz w:val="20"/>
              </w:rPr>
              <w:t>(62.593)</w:t>
            </w:r>
          </w:p>
        </w:tc>
        <w:tc>
          <w:tcPr>
            <w:tcW w:w="2428" w:type="dxa"/>
          </w:tcPr>
          <w:p>
            <w:pPr>
              <w:pStyle w:val="TableParagraph"/>
              <w:spacing w:line="213" w:lineRule="exact"/>
              <w:ind w:left="146" w:right="108"/>
              <w:rPr>
                <w:sz w:val="20"/>
              </w:rPr>
            </w:pPr>
            <w:r>
              <w:rPr>
                <w:spacing w:val="-2"/>
                <w:sz w:val="20"/>
              </w:rPr>
              <w:t>(3,302.620)</w:t>
            </w:r>
          </w:p>
        </w:tc>
      </w:tr>
      <w:tr>
        <w:trPr>
          <w:trHeight w:val="854" w:hRule="atLeast"/>
        </w:trPr>
        <w:tc>
          <w:tcPr>
            <w:tcW w:w="1789" w:type="dxa"/>
            <w:tcBorders>
              <w:bottom w:val="single" w:sz="4" w:space="0" w:color="000000"/>
            </w:tcBorders>
          </w:tcPr>
          <w:p>
            <w:pPr>
              <w:pStyle w:val="TableParagraph"/>
              <w:spacing w:before="122"/>
              <w:jc w:val="left"/>
              <w:rPr>
                <w:sz w:val="20"/>
              </w:rPr>
            </w:pPr>
            <w:r>
              <w:rPr>
                <w:spacing w:val="-2"/>
                <w:sz w:val="20"/>
              </w:rPr>
              <w:t>log(GDP)</w:t>
            </w:r>
          </w:p>
        </w:tc>
        <w:tc>
          <w:tcPr>
            <w:tcW w:w="2058" w:type="dxa"/>
            <w:tcBorders>
              <w:bottom w:val="single" w:sz="4" w:space="0" w:color="000000"/>
            </w:tcBorders>
          </w:tcPr>
          <w:p>
            <w:pPr>
              <w:pStyle w:val="TableParagraph"/>
              <w:spacing w:line="291" w:lineRule="exact" w:before="86"/>
              <w:ind w:left="670"/>
              <w:jc w:val="left"/>
              <w:rPr>
                <w:sz w:val="20"/>
              </w:rPr>
            </w:pPr>
            <w:r>
              <w:rPr>
                <w:rFonts w:ascii="Lucida Sans Unicode" w:hAnsi="Lucida Sans Unicode"/>
                <w:spacing w:val="-2"/>
                <w:sz w:val="20"/>
              </w:rPr>
              <w:t>−</w:t>
            </w:r>
            <w:r>
              <w:rPr>
                <w:spacing w:val="-2"/>
                <w:sz w:val="20"/>
              </w:rPr>
              <w:t>307.582</w:t>
            </w:r>
          </w:p>
          <w:p>
            <w:pPr>
              <w:pStyle w:val="TableParagraph"/>
              <w:spacing w:line="211" w:lineRule="exact"/>
              <w:ind w:left="670"/>
              <w:jc w:val="left"/>
              <w:rPr>
                <w:sz w:val="20"/>
              </w:rPr>
            </w:pPr>
            <w:r>
              <w:rPr>
                <w:spacing w:val="-2"/>
                <w:sz w:val="20"/>
              </w:rPr>
              <w:t>(743.779)</w:t>
            </w:r>
          </w:p>
        </w:tc>
        <w:tc>
          <w:tcPr>
            <w:tcW w:w="2597" w:type="dxa"/>
            <w:tcBorders>
              <w:bottom w:val="single" w:sz="4" w:space="0" w:color="000000"/>
            </w:tcBorders>
          </w:tcPr>
          <w:p>
            <w:pPr>
              <w:pStyle w:val="TableParagraph"/>
              <w:spacing w:line="291" w:lineRule="exact" w:before="86"/>
              <w:ind w:left="862" w:right="737"/>
              <w:rPr>
                <w:sz w:val="20"/>
              </w:rPr>
            </w:pPr>
            <w:r>
              <w:rPr>
                <w:rFonts w:ascii="Lucida Sans Unicode" w:hAnsi="Lucida Sans Unicode"/>
                <w:spacing w:val="-2"/>
                <w:sz w:val="20"/>
              </w:rPr>
              <w:t>−</w:t>
            </w:r>
            <w:r>
              <w:rPr>
                <w:spacing w:val="-2"/>
                <w:sz w:val="20"/>
              </w:rPr>
              <w:t>112.682</w:t>
            </w:r>
          </w:p>
          <w:p>
            <w:pPr>
              <w:pStyle w:val="TableParagraph"/>
              <w:spacing w:line="211" w:lineRule="exact"/>
              <w:ind w:left="862" w:right="734"/>
              <w:rPr>
                <w:sz w:val="20"/>
              </w:rPr>
            </w:pPr>
            <w:r>
              <w:rPr>
                <w:spacing w:val="-2"/>
                <w:sz w:val="20"/>
              </w:rPr>
              <w:t>(96.471)</w:t>
            </w:r>
          </w:p>
        </w:tc>
        <w:tc>
          <w:tcPr>
            <w:tcW w:w="2428" w:type="dxa"/>
            <w:tcBorders>
              <w:bottom w:val="single" w:sz="4" w:space="0" w:color="000000"/>
            </w:tcBorders>
          </w:tcPr>
          <w:p>
            <w:pPr>
              <w:pStyle w:val="TableParagraph"/>
              <w:spacing w:line="291" w:lineRule="exact" w:before="86"/>
              <w:ind w:left="662"/>
              <w:jc w:val="left"/>
              <w:rPr>
                <w:rFonts w:ascii="Lucida Sans Unicode" w:hAnsi="Lucida Sans Unicode"/>
                <w:sz w:val="20"/>
              </w:rPr>
            </w:pPr>
            <w:r>
              <w:rPr>
                <w:rFonts w:ascii="Lucida Sans Unicode" w:hAnsi="Lucida Sans Unicode"/>
                <w:spacing w:val="-2"/>
                <w:sz w:val="20"/>
              </w:rPr>
              <w:t>−</w:t>
            </w:r>
            <w:r>
              <w:rPr>
                <w:spacing w:val="-2"/>
                <w:sz w:val="20"/>
              </w:rPr>
              <w:t>8,491.844</w:t>
            </w:r>
            <w:r>
              <w:rPr>
                <w:rFonts w:ascii="Lucida Sans Unicode" w:hAnsi="Lucida Sans Unicode"/>
                <w:spacing w:val="-2"/>
                <w:sz w:val="20"/>
                <w:vertAlign w:val="superscript"/>
              </w:rPr>
              <w:t>∗∗</w:t>
            </w:r>
          </w:p>
          <w:p>
            <w:pPr>
              <w:pStyle w:val="TableParagraph"/>
              <w:spacing w:line="211" w:lineRule="exact"/>
              <w:ind w:left="751"/>
              <w:jc w:val="left"/>
              <w:rPr>
                <w:sz w:val="20"/>
              </w:rPr>
            </w:pPr>
            <w:r>
              <w:rPr>
                <w:spacing w:val="-2"/>
                <w:sz w:val="20"/>
              </w:rPr>
              <w:t>(3,180.431)</w:t>
            </w:r>
          </w:p>
        </w:tc>
      </w:tr>
      <w:tr>
        <w:trPr>
          <w:trHeight w:val="300" w:hRule="atLeast"/>
        </w:trPr>
        <w:tc>
          <w:tcPr>
            <w:tcW w:w="1789" w:type="dxa"/>
            <w:tcBorders>
              <w:top w:val="single" w:sz="4" w:space="0" w:color="000000"/>
            </w:tcBorders>
          </w:tcPr>
          <w:p>
            <w:pPr>
              <w:pStyle w:val="TableParagraph"/>
              <w:spacing w:line="213" w:lineRule="exact" w:before="67"/>
              <w:jc w:val="left"/>
              <w:rPr>
                <w:sz w:val="20"/>
              </w:rPr>
            </w:pPr>
            <w:r>
              <w:rPr>
                <w:spacing w:val="-2"/>
                <w:sz w:val="20"/>
              </w:rPr>
              <w:t>Observations</w:t>
            </w:r>
          </w:p>
        </w:tc>
        <w:tc>
          <w:tcPr>
            <w:tcW w:w="2058" w:type="dxa"/>
            <w:tcBorders>
              <w:top w:val="single" w:sz="4" w:space="0" w:color="000000"/>
            </w:tcBorders>
          </w:tcPr>
          <w:p>
            <w:pPr>
              <w:pStyle w:val="TableParagraph"/>
              <w:spacing w:line="213" w:lineRule="exact" w:before="67"/>
              <w:ind w:left="390" w:right="299"/>
              <w:rPr>
                <w:sz w:val="20"/>
              </w:rPr>
            </w:pPr>
            <w:r>
              <w:rPr>
                <w:spacing w:val="-5"/>
                <w:sz w:val="20"/>
              </w:rPr>
              <w:t>128</w:t>
            </w:r>
          </w:p>
        </w:tc>
        <w:tc>
          <w:tcPr>
            <w:tcW w:w="2597" w:type="dxa"/>
            <w:tcBorders>
              <w:top w:val="single" w:sz="4" w:space="0" w:color="000000"/>
            </w:tcBorders>
          </w:tcPr>
          <w:p>
            <w:pPr>
              <w:pStyle w:val="TableParagraph"/>
              <w:spacing w:line="213" w:lineRule="exact" w:before="67"/>
              <w:ind w:left="862" w:right="737"/>
              <w:rPr>
                <w:sz w:val="20"/>
              </w:rPr>
            </w:pPr>
            <w:r>
              <w:rPr>
                <w:spacing w:val="-5"/>
                <w:w w:val="95"/>
                <w:sz w:val="20"/>
              </w:rPr>
              <w:t>83</w:t>
            </w:r>
          </w:p>
        </w:tc>
        <w:tc>
          <w:tcPr>
            <w:tcW w:w="2428" w:type="dxa"/>
            <w:tcBorders>
              <w:top w:val="single" w:sz="4" w:space="0" w:color="000000"/>
            </w:tcBorders>
          </w:tcPr>
          <w:p>
            <w:pPr>
              <w:pStyle w:val="TableParagraph"/>
              <w:spacing w:line="213" w:lineRule="exact" w:before="67"/>
              <w:ind w:left="144" w:right="111"/>
              <w:rPr>
                <w:sz w:val="20"/>
              </w:rPr>
            </w:pPr>
            <w:r>
              <w:rPr>
                <w:spacing w:val="-5"/>
                <w:sz w:val="20"/>
              </w:rPr>
              <w:t>45</w:t>
            </w:r>
          </w:p>
        </w:tc>
      </w:tr>
    </w:tbl>
    <w:p>
      <w:pPr>
        <w:pStyle w:val="BodyText"/>
        <w:tabs>
          <w:tab w:pos="2774" w:val="left" w:leader="none"/>
          <w:tab w:pos="5118" w:val="left" w:leader="none"/>
          <w:tab w:pos="8038" w:val="right" w:leader="none"/>
        </w:tabs>
        <w:ind w:left="137"/>
      </w:pPr>
      <w:r>
        <w:rPr/>
        <w:pict>
          <v:shape style="position:absolute;margin-left:67.865997pt;margin-top:13.168246pt;width:449.6pt;height:26.3pt;mso-position-horizontal-relative:page;mso-position-vertical-relative:paragraph;z-index:15739904" type="#_x0000_t202" id="docshape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4"/>
                    <w:gridCol w:w="2630"/>
                    <w:gridCol w:w="2273"/>
                    <w:gridCol w:w="2474"/>
                  </w:tblGrid>
                  <w:tr>
                    <w:trPr>
                      <w:trHeight w:val="230" w:hRule="atLeast"/>
                    </w:trPr>
                    <w:tc>
                      <w:tcPr>
                        <w:tcW w:w="1494" w:type="dxa"/>
                      </w:tcPr>
                      <w:p>
                        <w:pPr>
                          <w:pStyle w:val="TableParagraph"/>
                          <w:spacing w:line="210" w:lineRule="exact"/>
                          <w:ind w:left="-1"/>
                          <w:jc w:val="left"/>
                          <w:rPr>
                            <w:rFonts w:ascii="Century Gothic"/>
                            <w:sz w:val="20"/>
                          </w:rPr>
                        </w:pPr>
                        <w:r>
                          <w:rPr>
                            <w:sz w:val="20"/>
                          </w:rPr>
                          <w:t>Adjusted</w:t>
                        </w:r>
                        <w:r>
                          <w:rPr>
                            <w:spacing w:val="10"/>
                            <w:sz w:val="20"/>
                          </w:rPr>
                          <w:t> </w:t>
                        </w:r>
                        <w:r>
                          <w:rPr>
                            <w:spacing w:val="-5"/>
                            <w:sz w:val="20"/>
                          </w:rPr>
                          <w:t>R</w:t>
                        </w:r>
                        <w:r>
                          <w:rPr>
                            <w:rFonts w:ascii="Century Gothic"/>
                            <w:spacing w:val="-5"/>
                            <w:sz w:val="20"/>
                            <w:vertAlign w:val="superscript"/>
                          </w:rPr>
                          <w:t>2</w:t>
                        </w:r>
                      </w:p>
                    </w:tc>
                    <w:tc>
                      <w:tcPr>
                        <w:tcW w:w="2630" w:type="dxa"/>
                      </w:tcPr>
                      <w:p>
                        <w:pPr>
                          <w:pStyle w:val="TableParagraph"/>
                          <w:spacing w:line="210" w:lineRule="exact"/>
                          <w:ind w:left="395" w:right="286"/>
                          <w:rPr>
                            <w:sz w:val="20"/>
                          </w:rPr>
                        </w:pPr>
                        <w:r>
                          <w:rPr>
                            <w:spacing w:val="-2"/>
                            <w:sz w:val="20"/>
                          </w:rPr>
                          <w:t>0.146</w:t>
                        </w:r>
                      </w:p>
                    </w:tc>
                    <w:tc>
                      <w:tcPr>
                        <w:tcW w:w="2273" w:type="dxa"/>
                      </w:tcPr>
                      <w:p>
                        <w:pPr>
                          <w:pStyle w:val="TableParagraph"/>
                          <w:spacing w:line="210" w:lineRule="exact"/>
                          <w:ind w:left="291" w:right="393"/>
                          <w:rPr>
                            <w:sz w:val="20"/>
                          </w:rPr>
                        </w:pPr>
                        <w:r>
                          <w:rPr>
                            <w:rFonts w:ascii="Lucida Sans Unicode" w:hAnsi="Lucida Sans Unicode"/>
                            <w:spacing w:val="-2"/>
                            <w:sz w:val="20"/>
                          </w:rPr>
                          <w:t>−</w:t>
                        </w:r>
                        <w:r>
                          <w:rPr>
                            <w:spacing w:val="-2"/>
                            <w:sz w:val="20"/>
                          </w:rPr>
                          <w:t>0.446</w:t>
                        </w:r>
                      </w:p>
                    </w:tc>
                    <w:tc>
                      <w:tcPr>
                        <w:tcW w:w="2474" w:type="dxa"/>
                      </w:tcPr>
                      <w:p>
                        <w:pPr>
                          <w:pStyle w:val="TableParagraph"/>
                          <w:spacing w:line="210" w:lineRule="exact"/>
                          <w:ind w:left="420" w:right="339"/>
                          <w:rPr>
                            <w:sz w:val="20"/>
                          </w:rPr>
                        </w:pPr>
                        <w:r>
                          <w:rPr>
                            <w:rFonts w:ascii="Lucida Sans Unicode" w:hAnsi="Lucida Sans Unicode"/>
                            <w:spacing w:val="-2"/>
                            <w:sz w:val="20"/>
                          </w:rPr>
                          <w:t>−</w:t>
                        </w:r>
                        <w:r>
                          <w:rPr>
                            <w:spacing w:val="-2"/>
                            <w:sz w:val="20"/>
                          </w:rPr>
                          <w:t>0.518</w:t>
                        </w:r>
                      </w:p>
                    </w:tc>
                  </w:tr>
                  <w:tr>
                    <w:trPr>
                      <w:trHeight w:val="266" w:hRule="atLeast"/>
                    </w:trPr>
                    <w:tc>
                      <w:tcPr>
                        <w:tcW w:w="1494" w:type="dxa"/>
                        <w:tcBorders>
                          <w:bottom w:val="double" w:sz="4" w:space="0" w:color="000000"/>
                        </w:tcBorders>
                      </w:tcPr>
                      <w:p>
                        <w:pPr>
                          <w:pStyle w:val="TableParagraph"/>
                          <w:spacing w:before="2"/>
                          <w:jc w:val="left"/>
                          <w:rPr>
                            <w:sz w:val="20"/>
                          </w:rPr>
                        </w:pPr>
                        <w:r>
                          <w:rPr>
                            <w:w w:val="105"/>
                            <w:sz w:val="20"/>
                          </w:rPr>
                          <w:t>F</w:t>
                        </w:r>
                        <w:r>
                          <w:rPr>
                            <w:spacing w:val="19"/>
                            <w:w w:val="105"/>
                            <w:sz w:val="20"/>
                          </w:rPr>
                          <w:t> </w:t>
                        </w:r>
                        <w:r>
                          <w:rPr>
                            <w:spacing w:val="-2"/>
                            <w:w w:val="105"/>
                            <w:sz w:val="20"/>
                          </w:rPr>
                          <w:t>Statistic</w:t>
                        </w:r>
                      </w:p>
                    </w:tc>
                    <w:tc>
                      <w:tcPr>
                        <w:tcW w:w="2630" w:type="dxa"/>
                        <w:tcBorders>
                          <w:bottom w:val="double" w:sz="4" w:space="0" w:color="000000"/>
                        </w:tcBorders>
                      </w:tcPr>
                      <w:p>
                        <w:pPr>
                          <w:pStyle w:val="TableParagraph"/>
                          <w:spacing w:line="246" w:lineRule="exact"/>
                          <w:ind w:left="395" w:right="286"/>
                          <w:rPr>
                            <w:sz w:val="20"/>
                          </w:rPr>
                        </w:pPr>
                        <w:r>
                          <w:rPr>
                            <w:sz w:val="20"/>
                          </w:rPr>
                          <w:t>11.348</w:t>
                        </w:r>
                        <w:r>
                          <w:rPr>
                            <w:rFonts w:ascii="Lucida Sans Unicode" w:hAnsi="Lucida Sans Unicode"/>
                            <w:sz w:val="20"/>
                            <w:vertAlign w:val="superscript"/>
                          </w:rPr>
                          <w:t>∗∗∗</w:t>
                        </w:r>
                        <w:r>
                          <w:rPr>
                            <w:rFonts w:ascii="Lucida Sans Unicode" w:hAnsi="Lucida Sans Unicode"/>
                            <w:spacing w:val="-10"/>
                            <w:sz w:val="20"/>
                            <w:vertAlign w:val="baseline"/>
                          </w:rPr>
                          <w:t> </w:t>
                        </w:r>
                        <w:r>
                          <w:rPr>
                            <w:sz w:val="20"/>
                            <w:vertAlign w:val="baseline"/>
                          </w:rPr>
                          <w:t>(df</w:t>
                        </w:r>
                        <w:r>
                          <w:rPr>
                            <w:spacing w:val="-1"/>
                            <w:sz w:val="20"/>
                            <w:vertAlign w:val="baseline"/>
                          </w:rPr>
                          <w:t> </w:t>
                        </w:r>
                        <w:r>
                          <w:rPr>
                            <w:sz w:val="20"/>
                            <w:vertAlign w:val="baseline"/>
                          </w:rPr>
                          <w:t>=</w:t>
                        </w:r>
                        <w:r>
                          <w:rPr>
                            <w:spacing w:val="-2"/>
                            <w:sz w:val="20"/>
                            <w:vertAlign w:val="baseline"/>
                          </w:rPr>
                          <w:t> </w:t>
                        </w:r>
                        <w:r>
                          <w:rPr>
                            <w:sz w:val="20"/>
                            <w:vertAlign w:val="baseline"/>
                          </w:rPr>
                          <w:t>5;</w:t>
                        </w:r>
                        <w:r>
                          <w:rPr>
                            <w:spacing w:val="-1"/>
                            <w:sz w:val="20"/>
                            <w:vertAlign w:val="baseline"/>
                          </w:rPr>
                          <w:t> </w:t>
                        </w:r>
                        <w:r>
                          <w:rPr>
                            <w:spacing w:val="-5"/>
                            <w:sz w:val="20"/>
                            <w:vertAlign w:val="baseline"/>
                          </w:rPr>
                          <w:t>92)</w:t>
                        </w:r>
                      </w:p>
                    </w:tc>
                    <w:tc>
                      <w:tcPr>
                        <w:tcW w:w="2273" w:type="dxa"/>
                        <w:tcBorders>
                          <w:bottom w:val="double" w:sz="4" w:space="0" w:color="000000"/>
                        </w:tcBorders>
                      </w:tcPr>
                      <w:p>
                        <w:pPr>
                          <w:pStyle w:val="TableParagraph"/>
                          <w:spacing w:before="2"/>
                          <w:ind w:left="291" w:right="394"/>
                          <w:rPr>
                            <w:sz w:val="20"/>
                          </w:rPr>
                        </w:pPr>
                        <w:r>
                          <w:rPr>
                            <w:sz w:val="20"/>
                          </w:rPr>
                          <w:t>1.938</w:t>
                        </w:r>
                        <w:r>
                          <w:rPr>
                            <w:spacing w:val="11"/>
                            <w:sz w:val="20"/>
                          </w:rPr>
                          <w:t> </w:t>
                        </w:r>
                        <w:r>
                          <w:rPr>
                            <w:sz w:val="20"/>
                          </w:rPr>
                          <w:t>(df</w:t>
                        </w:r>
                        <w:r>
                          <w:rPr>
                            <w:spacing w:val="12"/>
                            <w:sz w:val="20"/>
                          </w:rPr>
                          <w:t> </w:t>
                        </w:r>
                        <w:r>
                          <w:rPr>
                            <w:sz w:val="20"/>
                          </w:rPr>
                          <w:t>=</w:t>
                        </w:r>
                        <w:r>
                          <w:rPr>
                            <w:spacing w:val="12"/>
                            <w:sz w:val="20"/>
                          </w:rPr>
                          <w:t> </w:t>
                        </w:r>
                        <w:r>
                          <w:rPr>
                            <w:sz w:val="20"/>
                          </w:rPr>
                          <w:t>5;</w:t>
                        </w:r>
                        <w:r>
                          <w:rPr>
                            <w:spacing w:val="12"/>
                            <w:sz w:val="20"/>
                          </w:rPr>
                          <w:t> </w:t>
                        </w:r>
                        <w:r>
                          <w:rPr>
                            <w:spacing w:val="-5"/>
                            <w:sz w:val="20"/>
                          </w:rPr>
                          <w:t>47)</w:t>
                        </w:r>
                      </w:p>
                    </w:tc>
                    <w:tc>
                      <w:tcPr>
                        <w:tcW w:w="2474" w:type="dxa"/>
                        <w:tcBorders>
                          <w:bottom w:val="double" w:sz="4" w:space="0" w:color="000000"/>
                        </w:tcBorders>
                      </w:tcPr>
                      <w:p>
                        <w:pPr>
                          <w:pStyle w:val="TableParagraph"/>
                          <w:spacing w:line="246" w:lineRule="exact"/>
                          <w:ind w:left="420" w:right="340"/>
                          <w:rPr>
                            <w:sz w:val="20"/>
                          </w:rPr>
                        </w:pPr>
                        <w:r>
                          <w:rPr>
                            <w:sz w:val="20"/>
                          </w:rPr>
                          <w:t>3.597</w:t>
                        </w:r>
                        <w:r>
                          <w:rPr>
                            <w:rFonts w:ascii="Lucida Sans Unicode" w:hAnsi="Lucida Sans Unicode"/>
                            <w:sz w:val="20"/>
                            <w:vertAlign w:val="superscript"/>
                          </w:rPr>
                          <w:t>∗∗</w:t>
                        </w:r>
                        <w:r>
                          <w:rPr>
                            <w:rFonts w:ascii="Lucida Sans Unicode" w:hAnsi="Lucida Sans Unicode"/>
                            <w:spacing w:val="-8"/>
                            <w:sz w:val="20"/>
                            <w:vertAlign w:val="baseline"/>
                          </w:rPr>
                          <w:t> </w:t>
                        </w:r>
                        <w:r>
                          <w:rPr>
                            <w:sz w:val="20"/>
                            <w:vertAlign w:val="baseline"/>
                          </w:rPr>
                          <w:t>(df = 5; </w:t>
                        </w:r>
                        <w:r>
                          <w:rPr>
                            <w:spacing w:val="-5"/>
                            <w:sz w:val="20"/>
                            <w:vertAlign w:val="baseline"/>
                          </w:rPr>
                          <w:t>11)</w:t>
                        </w:r>
                      </w:p>
                    </w:tc>
                  </w:tr>
                </w:tbl>
                <w:p>
                  <w:pPr>
                    <w:pStyle w:val="BodyText"/>
                  </w:pPr>
                </w:p>
              </w:txbxContent>
            </v:textbox>
            <w10:wrap type="none"/>
          </v:shape>
        </w:pict>
      </w:r>
      <w:r>
        <w:rPr>
          <w:spacing w:val="-5"/>
        </w:rPr>
        <w:t>R</w:t>
      </w:r>
      <w:r>
        <w:rPr>
          <w:rFonts w:ascii="Century Gothic"/>
          <w:spacing w:val="-5"/>
          <w:vertAlign w:val="superscript"/>
        </w:rPr>
        <w:t>2</w:t>
      </w:r>
      <w:r>
        <w:rPr>
          <w:rFonts w:ascii="Century Gothic"/>
          <w:vertAlign w:val="baseline"/>
        </w:rPr>
        <w:tab/>
      </w:r>
      <w:r>
        <w:rPr>
          <w:spacing w:val="-2"/>
          <w:vertAlign w:val="baseline"/>
        </w:rPr>
        <w:t>0.381</w:t>
      </w:r>
      <w:r>
        <w:rPr>
          <w:vertAlign w:val="baseline"/>
        </w:rPr>
        <w:tab/>
      </w:r>
      <w:r>
        <w:rPr>
          <w:spacing w:val="-2"/>
          <w:vertAlign w:val="baseline"/>
        </w:rPr>
        <w:t>0.171</w:t>
      </w:r>
      <w:r>
        <w:rPr>
          <w:rFonts w:ascii="Times New Roman"/>
          <w:vertAlign w:val="baseline"/>
        </w:rPr>
        <w:tab/>
      </w:r>
      <w:r>
        <w:rPr>
          <w:spacing w:val="-2"/>
          <w:vertAlign w:val="baseline"/>
        </w:rPr>
        <w:t>0.620</w:t>
      </w:r>
    </w:p>
    <w:p>
      <w:pPr>
        <w:pStyle w:val="BodyText"/>
        <w:spacing w:line="216" w:lineRule="auto" w:before="614"/>
        <w:ind w:left="137" w:right="3378"/>
      </w:pPr>
      <w:r>
        <w:rPr>
          <w:rFonts w:ascii="Bookman Old Style" w:hAnsi="Bookman Old Style"/>
          <w:b w:val="0"/>
          <w:i/>
          <w:spacing w:val="-2"/>
        </w:rPr>
        <w:t>Notes:</w:t>
      </w:r>
      <w:r>
        <w:rPr>
          <w:rFonts w:ascii="Bookman Old Style" w:hAnsi="Bookman Old Style"/>
          <w:b w:val="0"/>
          <w:i/>
          <w:spacing w:val="13"/>
        </w:rPr>
        <w:t> </w:t>
      </w:r>
      <w:r>
        <w:rPr>
          <w:spacing w:val="-2"/>
        </w:rPr>
        <w:t>Models are panel linear regressions with time and country fixed effects. </w:t>
      </w:r>
      <w:r>
        <w:rPr/>
        <w:t>Robust standard errors in parentheses.</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0.1;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0.05;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0.01</w:t>
      </w:r>
    </w:p>
    <w:p>
      <w:pPr>
        <w:spacing w:after="0" w:line="216" w:lineRule="auto"/>
        <w:sectPr>
          <w:pgSz w:w="12240" w:h="15840"/>
          <w:pgMar w:header="0" w:footer="1252" w:top="1820" w:bottom="1440" w:left="1280" w:right="40"/>
        </w:sectPr>
      </w:pPr>
    </w:p>
    <w:p>
      <w:pPr>
        <w:pStyle w:val="BodyText"/>
        <w:spacing w:line="316" w:lineRule="auto" w:before="49"/>
        <w:ind w:left="137" w:right="1793" w:firstLine="298"/>
        <w:jc w:val="both"/>
      </w:pPr>
      <w:r>
        <w:rPr/>
        <w:t>In order to illustrate the relationship between these variables in a practical way, as well as to illu- minate the varied effect that military spending has on the number of battle deaths depending on the severity of conflict, we employ a key case study designed to explore these variables in more detail.</w:t>
      </w:r>
    </w:p>
    <w:p>
      <w:pPr>
        <w:pStyle w:val="BodyText"/>
      </w:pPr>
    </w:p>
    <w:p>
      <w:pPr>
        <w:pStyle w:val="Heading1"/>
        <w:numPr>
          <w:ilvl w:val="0"/>
          <w:numId w:val="1"/>
        </w:numPr>
        <w:tabs>
          <w:tab w:pos="621" w:val="left" w:leader="none"/>
          <w:tab w:pos="622" w:val="left" w:leader="none"/>
        </w:tabs>
        <w:spacing w:line="240" w:lineRule="auto" w:before="146" w:after="0"/>
        <w:ind w:left="621" w:right="0" w:hanging="485"/>
        <w:jc w:val="left"/>
      </w:pPr>
      <w:r>
        <w:rPr/>
        <w:t>Case</w:t>
      </w:r>
      <w:r>
        <w:rPr>
          <w:spacing w:val="22"/>
        </w:rPr>
        <w:t> </w:t>
      </w:r>
      <w:r>
        <w:rPr>
          <w:spacing w:val="-4"/>
        </w:rPr>
        <w:t>Study</w:t>
      </w:r>
    </w:p>
    <w:p>
      <w:pPr>
        <w:pStyle w:val="BodyText"/>
        <w:spacing w:line="316" w:lineRule="auto" w:before="252"/>
        <w:ind w:left="137" w:right="1792" w:firstLine="298"/>
        <w:jc w:val="both"/>
      </w:pPr>
      <w:r>
        <w:rPr/>
        <w:t>In order to trace the causal mechanisms of our study, we decided to use Nigeria as a case study. Nigeria</w:t>
      </w:r>
      <w:r>
        <w:rPr>
          <w:spacing w:val="16"/>
        </w:rPr>
        <w:t> </w:t>
      </w:r>
      <w:r>
        <w:rPr/>
        <w:t>is</w:t>
      </w:r>
      <w:r>
        <w:rPr>
          <w:spacing w:val="16"/>
        </w:rPr>
        <w:t> </w:t>
      </w:r>
      <w:r>
        <w:rPr/>
        <w:t>a</w:t>
      </w:r>
      <w:r>
        <w:rPr>
          <w:spacing w:val="16"/>
        </w:rPr>
        <w:t> </w:t>
      </w:r>
      <w:r>
        <w:rPr/>
        <w:t>useful</w:t>
      </w:r>
      <w:r>
        <w:rPr>
          <w:spacing w:val="16"/>
        </w:rPr>
        <w:t> </w:t>
      </w:r>
      <w:r>
        <w:rPr/>
        <w:t>case</w:t>
      </w:r>
      <w:r>
        <w:rPr>
          <w:spacing w:val="16"/>
        </w:rPr>
        <w:t> </w:t>
      </w:r>
      <w:r>
        <w:rPr/>
        <w:t>as</w:t>
      </w:r>
      <w:r>
        <w:rPr>
          <w:spacing w:val="16"/>
        </w:rPr>
        <w:t> </w:t>
      </w:r>
      <w:r>
        <w:rPr/>
        <w:t>it</w:t>
      </w:r>
      <w:r>
        <w:rPr>
          <w:spacing w:val="16"/>
        </w:rPr>
        <w:t> </w:t>
      </w:r>
      <w:r>
        <w:rPr/>
        <w:t>is</w:t>
      </w:r>
      <w:r>
        <w:rPr>
          <w:spacing w:val="16"/>
        </w:rPr>
        <w:t> </w:t>
      </w:r>
      <w:r>
        <w:rPr/>
        <w:t>a</w:t>
      </w:r>
      <w:r>
        <w:rPr>
          <w:spacing w:val="16"/>
        </w:rPr>
        <w:t> </w:t>
      </w:r>
      <w:r>
        <w:rPr/>
        <w:t>state</w:t>
      </w:r>
      <w:r>
        <w:rPr>
          <w:spacing w:val="16"/>
        </w:rPr>
        <w:t> </w:t>
      </w:r>
      <w:r>
        <w:rPr/>
        <w:t>that</w:t>
      </w:r>
      <w:r>
        <w:rPr>
          <w:spacing w:val="16"/>
        </w:rPr>
        <w:t> </w:t>
      </w:r>
      <w:r>
        <w:rPr/>
        <w:t>has</w:t>
      </w:r>
      <w:r>
        <w:rPr>
          <w:spacing w:val="16"/>
        </w:rPr>
        <w:t> </w:t>
      </w:r>
      <w:r>
        <w:rPr/>
        <w:t>a</w:t>
      </w:r>
      <w:r>
        <w:rPr>
          <w:spacing w:val="16"/>
        </w:rPr>
        <w:t> </w:t>
      </w:r>
      <w:r>
        <w:rPr/>
        <w:t>history</w:t>
      </w:r>
      <w:r>
        <w:rPr>
          <w:spacing w:val="16"/>
        </w:rPr>
        <w:t> </w:t>
      </w:r>
      <w:r>
        <w:rPr/>
        <w:t>of</w:t>
      </w:r>
      <w:r>
        <w:rPr>
          <w:spacing w:val="16"/>
        </w:rPr>
        <w:t> </w:t>
      </w:r>
      <w:r>
        <w:rPr/>
        <w:t>violent</w:t>
      </w:r>
      <w:r>
        <w:rPr>
          <w:spacing w:val="16"/>
        </w:rPr>
        <w:t> </w:t>
      </w:r>
      <w:r>
        <w:rPr/>
        <w:t>conflict</w:t>
      </w:r>
      <w:r>
        <w:rPr>
          <w:spacing w:val="16"/>
        </w:rPr>
        <w:t> </w:t>
      </w:r>
      <w:r>
        <w:rPr/>
        <w:t>with</w:t>
      </w:r>
      <w:r>
        <w:rPr>
          <w:spacing w:val="16"/>
        </w:rPr>
        <w:t> </w:t>
      </w:r>
      <w:r>
        <w:rPr/>
        <w:t>oil</w:t>
      </w:r>
      <w:r>
        <w:rPr>
          <w:spacing w:val="16"/>
        </w:rPr>
        <w:t> </w:t>
      </w:r>
      <w:r>
        <w:rPr/>
        <w:t>revenues</w:t>
      </w:r>
      <w:r>
        <w:rPr>
          <w:spacing w:val="16"/>
        </w:rPr>
        <w:t> </w:t>
      </w:r>
      <w:r>
        <w:rPr/>
        <w:t>playing a major role in mitigating the violence.</w:t>
      </w:r>
      <w:r>
        <w:rPr>
          <w:spacing w:val="40"/>
        </w:rPr>
        <w:t> </w:t>
      </w:r>
      <w:r>
        <w:rPr/>
        <w:t>We focus on recent conflict in the Niger Delta region from 2004-2017, a useful context to study the effect of oil prices on an enduring conflict through which we can more clearly see the theory we have outlined here.</w:t>
      </w:r>
    </w:p>
    <w:p>
      <w:pPr>
        <w:pStyle w:val="BodyText"/>
        <w:spacing w:line="312" w:lineRule="auto" w:before="136"/>
        <w:ind w:left="137" w:right="1793" w:firstLine="298"/>
        <w:jc w:val="both"/>
        <w:rPr>
          <w:rFonts w:ascii="Century Gothic"/>
        </w:rPr>
      </w:pPr>
      <w:r>
        <w:rPr/>
        <w:t>As this case will demonstrate, states can ward off rebel activity through increased military spend- ing, although the impact to battle deaths is nonlinear.</w:t>
      </w:r>
      <w:r>
        <w:rPr>
          <w:spacing w:val="40"/>
        </w:rPr>
        <w:t> </w:t>
      </w:r>
      <w:r>
        <w:rPr/>
        <w:t>The case also involves important instances of social spending.</w:t>
      </w:r>
      <w:r>
        <w:rPr>
          <w:spacing w:val="38"/>
        </w:rPr>
        <w:t> </w:t>
      </w:r>
      <w:r>
        <w:rPr/>
        <w:t>Social spending can be seen as a way to appease and co-opt civilian support.</w:t>
      </w:r>
      <w:r>
        <w:rPr>
          <w:spacing w:val="38"/>
        </w:rPr>
        <w:t> </w:t>
      </w:r>
      <w:r>
        <w:rPr/>
        <w:t>Public expenditures by the state suggests the government is willing and able to invest in public goods and services,</w:t>
      </w:r>
      <w:r>
        <w:rPr>
          <w:spacing w:val="-5"/>
        </w:rPr>
        <w:t> </w:t>
      </w:r>
      <w:r>
        <w:rPr/>
        <w:t>therefore</w:t>
      </w:r>
      <w:r>
        <w:rPr>
          <w:spacing w:val="-5"/>
        </w:rPr>
        <w:t> </w:t>
      </w:r>
      <w:r>
        <w:rPr/>
        <w:t>raising</w:t>
      </w:r>
      <w:r>
        <w:rPr>
          <w:spacing w:val="-5"/>
        </w:rPr>
        <w:t> </w:t>
      </w:r>
      <w:r>
        <w:rPr/>
        <w:t>the</w:t>
      </w:r>
      <w:r>
        <w:rPr>
          <w:spacing w:val="-5"/>
        </w:rPr>
        <w:t> </w:t>
      </w:r>
      <w:r>
        <w:rPr/>
        <w:t>opportunity</w:t>
      </w:r>
      <w:r>
        <w:rPr>
          <w:spacing w:val="-5"/>
        </w:rPr>
        <w:t> </w:t>
      </w:r>
      <w:r>
        <w:rPr/>
        <w:t>cost</w:t>
      </w:r>
      <w:r>
        <w:rPr>
          <w:spacing w:val="-5"/>
        </w:rPr>
        <w:t> </w:t>
      </w:r>
      <w:r>
        <w:rPr/>
        <w:t>to</w:t>
      </w:r>
      <w:r>
        <w:rPr>
          <w:spacing w:val="-5"/>
        </w:rPr>
        <w:t> </w:t>
      </w:r>
      <w:r>
        <w:rPr/>
        <w:t>rebel</w:t>
      </w:r>
      <w:r>
        <w:rPr>
          <w:spacing w:val="-5"/>
        </w:rPr>
        <w:t> </w:t>
      </w:r>
      <w:r>
        <w:rPr/>
        <w:t>against</w:t>
      </w:r>
      <w:r>
        <w:rPr>
          <w:spacing w:val="-6"/>
        </w:rPr>
        <w:t> </w:t>
      </w:r>
      <w:r>
        <w:rPr/>
        <w:t>the</w:t>
      </w:r>
      <w:r>
        <w:rPr>
          <w:spacing w:val="-5"/>
        </w:rPr>
        <w:t> </w:t>
      </w:r>
      <w:r>
        <w:rPr/>
        <w:t>state. Recent</w:t>
      </w:r>
      <w:r>
        <w:rPr>
          <w:spacing w:val="-5"/>
        </w:rPr>
        <w:t> </w:t>
      </w:r>
      <w:r>
        <w:rPr/>
        <w:t>scholarship</w:t>
      </w:r>
      <w:r>
        <w:rPr>
          <w:spacing w:val="-5"/>
        </w:rPr>
        <w:t> </w:t>
      </w:r>
      <w:r>
        <w:rPr/>
        <w:t>has</w:t>
      </w:r>
      <w:r>
        <w:rPr>
          <w:spacing w:val="-5"/>
        </w:rPr>
        <w:t> </w:t>
      </w:r>
      <w:r>
        <w:rPr/>
        <w:t>found that</w:t>
      </w:r>
      <w:r>
        <w:rPr>
          <w:spacing w:val="-12"/>
        </w:rPr>
        <w:t> </w:t>
      </w:r>
      <w:r>
        <w:rPr/>
        <w:t>increased</w:t>
      </w:r>
      <w:r>
        <w:rPr>
          <w:spacing w:val="-12"/>
        </w:rPr>
        <w:t> </w:t>
      </w:r>
      <w:r>
        <w:rPr/>
        <w:t>investments</w:t>
      </w:r>
      <w:r>
        <w:rPr>
          <w:spacing w:val="-12"/>
        </w:rPr>
        <w:t> </w:t>
      </w:r>
      <w:r>
        <w:rPr/>
        <w:t>by</w:t>
      </w:r>
      <w:r>
        <w:rPr>
          <w:spacing w:val="-12"/>
        </w:rPr>
        <w:t> </w:t>
      </w:r>
      <w:r>
        <w:rPr/>
        <w:t>the</w:t>
      </w:r>
      <w:r>
        <w:rPr>
          <w:spacing w:val="-12"/>
        </w:rPr>
        <w:t> </w:t>
      </w:r>
      <w:r>
        <w:rPr/>
        <w:t>government</w:t>
      </w:r>
      <w:r>
        <w:rPr>
          <w:spacing w:val="-12"/>
        </w:rPr>
        <w:t> </w:t>
      </w:r>
      <w:r>
        <w:rPr/>
        <w:t>on</w:t>
      </w:r>
      <w:r>
        <w:rPr>
          <w:spacing w:val="-12"/>
        </w:rPr>
        <w:t> </w:t>
      </w:r>
      <w:r>
        <w:rPr/>
        <w:t>social</w:t>
      </w:r>
      <w:r>
        <w:rPr>
          <w:spacing w:val="-12"/>
        </w:rPr>
        <w:t> </w:t>
      </w:r>
      <w:r>
        <w:rPr/>
        <w:t>welfare</w:t>
      </w:r>
      <w:r>
        <w:rPr>
          <w:spacing w:val="-12"/>
        </w:rPr>
        <w:t> </w:t>
      </w:r>
      <w:r>
        <w:rPr/>
        <w:t>spending</w:t>
      </w:r>
      <w:r>
        <w:rPr>
          <w:spacing w:val="-12"/>
        </w:rPr>
        <w:t> </w:t>
      </w:r>
      <w:r>
        <w:rPr/>
        <w:t>is</w:t>
      </w:r>
      <w:r>
        <w:rPr>
          <w:spacing w:val="-12"/>
        </w:rPr>
        <w:t> </w:t>
      </w:r>
      <w:r>
        <w:rPr/>
        <w:t>correlated</w:t>
      </w:r>
      <w:r>
        <w:rPr>
          <w:spacing w:val="-12"/>
        </w:rPr>
        <w:t> </w:t>
      </w:r>
      <w:r>
        <w:rPr/>
        <w:t>with</w:t>
      </w:r>
      <w:r>
        <w:rPr>
          <w:spacing w:val="-12"/>
        </w:rPr>
        <w:t> </w:t>
      </w:r>
      <w:r>
        <w:rPr/>
        <w:t>a</w:t>
      </w:r>
      <w:r>
        <w:rPr>
          <w:spacing w:val="-12"/>
        </w:rPr>
        <w:t> </w:t>
      </w:r>
      <w:r>
        <w:rPr/>
        <w:t>decreased likelihood of conflict onset.</w:t>
      </w:r>
      <w:r>
        <w:rPr>
          <w:rFonts w:ascii="Century Gothic"/>
          <w:vertAlign w:val="superscript"/>
        </w:rPr>
        <w:t>57</w:t>
      </w:r>
    </w:p>
    <w:p>
      <w:pPr>
        <w:pStyle w:val="BodyText"/>
        <w:spacing w:line="312" w:lineRule="auto" w:before="143"/>
        <w:ind w:left="137" w:right="1793" w:firstLine="298"/>
        <w:jc w:val="both"/>
      </w:pPr>
      <w:r>
        <w:rPr/>
        <w:t>Nigeria is one of the world’s largest oil producers and a large portion of its revenue comes from oil production</w:t>
      </w:r>
      <w:r>
        <w:rPr>
          <w:spacing w:val="-13"/>
        </w:rPr>
        <w:t> </w:t>
      </w:r>
      <w:r>
        <w:rPr/>
        <w:t>and</w:t>
      </w:r>
      <w:r>
        <w:rPr>
          <w:spacing w:val="-12"/>
        </w:rPr>
        <w:t> </w:t>
      </w:r>
      <w:r>
        <w:rPr/>
        <w:t>exportation</w:t>
      </w:r>
      <w:r>
        <w:rPr>
          <w:spacing w:val="-12"/>
        </w:rPr>
        <w:t> </w:t>
      </w:r>
      <w:r>
        <w:rPr/>
        <w:t>since</w:t>
      </w:r>
      <w:r>
        <w:rPr>
          <w:spacing w:val="-12"/>
        </w:rPr>
        <w:t> </w:t>
      </w:r>
      <w:r>
        <w:rPr/>
        <w:t>its</w:t>
      </w:r>
      <w:r>
        <w:rPr>
          <w:spacing w:val="-12"/>
        </w:rPr>
        <w:t> </w:t>
      </w:r>
      <w:r>
        <w:rPr/>
        <w:t>discovery</w:t>
      </w:r>
      <w:r>
        <w:rPr>
          <w:spacing w:val="-12"/>
        </w:rPr>
        <w:t> </w:t>
      </w:r>
      <w:r>
        <w:rPr/>
        <w:t>in</w:t>
      </w:r>
      <w:r>
        <w:rPr>
          <w:spacing w:val="-12"/>
        </w:rPr>
        <w:t> </w:t>
      </w:r>
      <w:r>
        <w:rPr/>
        <w:t>the</w:t>
      </w:r>
      <w:r>
        <w:rPr>
          <w:spacing w:val="-12"/>
        </w:rPr>
        <w:t> </w:t>
      </w:r>
      <w:r>
        <w:rPr/>
        <w:t>1950s.</w:t>
      </w:r>
      <w:r>
        <w:rPr>
          <w:spacing w:val="-12"/>
        </w:rPr>
        <w:t> </w:t>
      </w:r>
      <w:r>
        <w:rPr/>
        <w:t>Oil</w:t>
      </w:r>
      <w:r>
        <w:rPr>
          <w:spacing w:val="-12"/>
        </w:rPr>
        <w:t> </w:t>
      </w:r>
      <w:r>
        <w:rPr/>
        <w:t>and</w:t>
      </w:r>
      <w:r>
        <w:rPr>
          <w:spacing w:val="-12"/>
        </w:rPr>
        <w:t> </w:t>
      </w:r>
      <w:r>
        <w:rPr/>
        <w:t>gas</w:t>
      </w:r>
      <w:r>
        <w:rPr>
          <w:spacing w:val="-12"/>
        </w:rPr>
        <w:t> </w:t>
      </w:r>
      <w:r>
        <w:rPr/>
        <w:t>accounts</w:t>
      </w:r>
      <w:r>
        <w:rPr>
          <w:spacing w:val="-12"/>
        </w:rPr>
        <w:t> </w:t>
      </w:r>
      <w:r>
        <w:rPr/>
        <w:t>for</w:t>
      </w:r>
      <w:r>
        <w:rPr>
          <w:spacing w:val="-12"/>
        </w:rPr>
        <w:t> </w:t>
      </w:r>
      <w:r>
        <w:rPr/>
        <w:t>about</w:t>
      </w:r>
      <w:r>
        <w:rPr>
          <w:spacing w:val="-12"/>
        </w:rPr>
        <w:t> </w:t>
      </w:r>
      <w:r>
        <w:rPr/>
        <w:t>10</w:t>
      </w:r>
      <w:r>
        <w:rPr>
          <w:spacing w:val="-12"/>
        </w:rPr>
        <w:t> </w:t>
      </w:r>
      <w:r>
        <w:rPr/>
        <w:t>percent</w:t>
      </w:r>
      <w:r>
        <w:rPr>
          <w:spacing w:val="-13"/>
        </w:rPr>
        <w:t> </w:t>
      </w:r>
      <w:r>
        <w:rPr/>
        <w:t>of GDP;</w:t>
      </w:r>
      <w:r>
        <w:rPr>
          <w:spacing w:val="-2"/>
        </w:rPr>
        <w:t> </w:t>
      </w:r>
      <w:r>
        <w:rPr/>
        <w:t>petrol</w:t>
      </w:r>
      <w:r>
        <w:rPr>
          <w:spacing w:val="-2"/>
        </w:rPr>
        <w:t> </w:t>
      </w:r>
      <w:r>
        <w:rPr/>
        <w:t>exports</w:t>
      </w:r>
      <w:r>
        <w:rPr>
          <w:spacing w:val="-3"/>
        </w:rPr>
        <w:t> </w:t>
      </w:r>
      <w:r>
        <w:rPr/>
        <w:t>account</w:t>
      </w:r>
      <w:r>
        <w:rPr>
          <w:spacing w:val="-3"/>
        </w:rPr>
        <w:t> </w:t>
      </w:r>
      <w:r>
        <w:rPr/>
        <w:t>for</w:t>
      </w:r>
      <w:r>
        <w:rPr>
          <w:spacing w:val="-2"/>
        </w:rPr>
        <w:t> </w:t>
      </w:r>
      <w:r>
        <w:rPr/>
        <w:t>86</w:t>
      </w:r>
      <w:r>
        <w:rPr>
          <w:spacing w:val="-3"/>
        </w:rPr>
        <w:t> </w:t>
      </w:r>
      <w:r>
        <w:rPr/>
        <w:t>percent</w:t>
      </w:r>
      <w:r>
        <w:rPr>
          <w:spacing w:val="-3"/>
        </w:rPr>
        <w:t> </w:t>
      </w:r>
      <w:r>
        <w:rPr/>
        <w:t>of</w:t>
      </w:r>
      <w:r>
        <w:rPr>
          <w:spacing w:val="-3"/>
        </w:rPr>
        <w:t> </w:t>
      </w:r>
      <w:r>
        <w:rPr/>
        <w:t>the</w:t>
      </w:r>
      <w:r>
        <w:rPr>
          <w:spacing w:val="-2"/>
        </w:rPr>
        <w:t> </w:t>
      </w:r>
      <w:r>
        <w:rPr/>
        <w:t>country’s</w:t>
      </w:r>
      <w:r>
        <w:rPr>
          <w:spacing w:val="-2"/>
        </w:rPr>
        <w:t> </w:t>
      </w:r>
      <w:r>
        <w:rPr/>
        <w:t>total</w:t>
      </w:r>
      <w:r>
        <w:rPr>
          <w:spacing w:val="-3"/>
        </w:rPr>
        <w:t> </w:t>
      </w:r>
      <w:r>
        <w:rPr/>
        <w:t>export</w:t>
      </w:r>
      <w:r>
        <w:rPr>
          <w:spacing w:val="-3"/>
        </w:rPr>
        <w:t> </w:t>
      </w:r>
      <w:r>
        <w:rPr/>
        <w:t>revenue.</w:t>
      </w:r>
      <w:r>
        <w:rPr>
          <w:rFonts w:ascii="Century Gothic" w:hAnsi="Century Gothic"/>
          <w:vertAlign w:val="superscript"/>
        </w:rPr>
        <w:t>58</w:t>
      </w:r>
      <w:r>
        <w:rPr>
          <w:rFonts w:ascii="Century Gothic" w:hAnsi="Century Gothic"/>
          <w:vertAlign w:val="baseline"/>
        </w:rPr>
        <w:t> </w:t>
      </w:r>
      <w:r>
        <w:rPr>
          <w:vertAlign w:val="baseline"/>
        </w:rPr>
        <w:t>However,</w:t>
      </w:r>
      <w:r>
        <w:rPr>
          <w:spacing w:val="-2"/>
          <w:vertAlign w:val="baseline"/>
        </w:rPr>
        <w:t> </w:t>
      </w:r>
      <w:r>
        <w:rPr>
          <w:vertAlign w:val="baseline"/>
        </w:rPr>
        <w:t>in</w:t>
      </w:r>
      <w:r>
        <w:rPr>
          <w:spacing w:val="-3"/>
          <w:vertAlign w:val="baseline"/>
        </w:rPr>
        <w:t> </w:t>
      </w:r>
      <w:r>
        <w:rPr>
          <w:vertAlign w:val="baseline"/>
        </w:rPr>
        <w:t>recent </w:t>
      </w:r>
      <w:r>
        <w:rPr>
          <w:spacing w:val="-2"/>
          <w:vertAlign w:val="baseline"/>
        </w:rPr>
        <w:t>years,</w:t>
      </w:r>
      <w:r>
        <w:rPr>
          <w:spacing w:val="-9"/>
          <w:vertAlign w:val="baseline"/>
        </w:rPr>
        <w:t> </w:t>
      </w:r>
      <w:r>
        <w:rPr>
          <w:spacing w:val="-2"/>
          <w:vertAlign w:val="baseline"/>
        </w:rPr>
        <w:t>oil</w:t>
      </w:r>
      <w:r>
        <w:rPr>
          <w:spacing w:val="-10"/>
          <w:vertAlign w:val="baseline"/>
        </w:rPr>
        <w:t> </w:t>
      </w:r>
      <w:r>
        <w:rPr>
          <w:spacing w:val="-2"/>
          <w:vertAlign w:val="baseline"/>
        </w:rPr>
        <w:t>prices</w:t>
      </w:r>
      <w:r>
        <w:rPr>
          <w:spacing w:val="-10"/>
          <w:vertAlign w:val="baseline"/>
        </w:rPr>
        <w:t> </w:t>
      </w:r>
      <w:r>
        <w:rPr>
          <w:spacing w:val="-2"/>
          <w:vertAlign w:val="baseline"/>
        </w:rPr>
        <w:t>have</w:t>
      </w:r>
      <w:r>
        <w:rPr>
          <w:spacing w:val="-10"/>
          <w:vertAlign w:val="baseline"/>
        </w:rPr>
        <w:t> </w:t>
      </w:r>
      <w:r>
        <w:rPr>
          <w:spacing w:val="-2"/>
          <w:vertAlign w:val="baseline"/>
        </w:rPr>
        <w:t>vacillated.</w:t>
      </w:r>
      <w:r>
        <w:rPr>
          <w:spacing w:val="11"/>
          <w:vertAlign w:val="baseline"/>
        </w:rPr>
        <w:t> </w:t>
      </w:r>
      <w:r>
        <w:rPr>
          <w:spacing w:val="-2"/>
          <w:vertAlign w:val="baseline"/>
        </w:rPr>
        <w:t>As</w:t>
      </w:r>
      <w:r>
        <w:rPr>
          <w:spacing w:val="-10"/>
          <w:vertAlign w:val="baseline"/>
        </w:rPr>
        <w:t> </w:t>
      </w:r>
      <w:r>
        <w:rPr>
          <w:spacing w:val="-2"/>
          <w:vertAlign w:val="baseline"/>
        </w:rPr>
        <w:t>Hendrix</w:t>
      </w:r>
      <w:r>
        <w:rPr>
          <w:spacing w:val="-10"/>
          <w:vertAlign w:val="baseline"/>
        </w:rPr>
        <w:t> </w:t>
      </w:r>
      <w:r>
        <w:rPr>
          <w:spacing w:val="-2"/>
          <w:vertAlign w:val="baseline"/>
        </w:rPr>
        <w:t>(2017)</w:t>
      </w:r>
      <w:r>
        <w:rPr>
          <w:spacing w:val="-10"/>
          <w:vertAlign w:val="baseline"/>
        </w:rPr>
        <w:t> </w:t>
      </w:r>
      <w:r>
        <w:rPr>
          <w:spacing w:val="-2"/>
          <w:vertAlign w:val="baseline"/>
        </w:rPr>
        <w:t>states,</w:t>
      </w:r>
      <w:r>
        <w:rPr>
          <w:spacing w:val="-9"/>
          <w:vertAlign w:val="baseline"/>
        </w:rPr>
        <w:t> </w:t>
      </w:r>
      <w:r>
        <w:rPr>
          <w:spacing w:val="-2"/>
          <w:vertAlign w:val="baseline"/>
        </w:rPr>
        <w:t>over</w:t>
      </w:r>
      <w:r>
        <w:rPr>
          <w:spacing w:val="-10"/>
          <w:vertAlign w:val="baseline"/>
        </w:rPr>
        <w:t> </w:t>
      </w:r>
      <w:r>
        <w:rPr>
          <w:spacing w:val="-2"/>
          <w:vertAlign w:val="baseline"/>
        </w:rPr>
        <w:t>the</w:t>
      </w:r>
      <w:r>
        <w:rPr>
          <w:spacing w:val="-10"/>
          <w:vertAlign w:val="baseline"/>
        </w:rPr>
        <w:t> </w:t>
      </w:r>
      <w:r>
        <w:rPr>
          <w:spacing w:val="-2"/>
          <w:vertAlign w:val="baseline"/>
        </w:rPr>
        <w:t>period</w:t>
      </w:r>
      <w:r>
        <w:rPr>
          <w:spacing w:val="-10"/>
          <w:vertAlign w:val="baseline"/>
        </w:rPr>
        <w:t> </w:t>
      </w:r>
      <w:r>
        <w:rPr>
          <w:spacing w:val="-2"/>
          <w:vertAlign w:val="baseline"/>
        </w:rPr>
        <w:t>from</w:t>
      </w:r>
      <w:r>
        <w:rPr>
          <w:spacing w:val="-10"/>
          <w:vertAlign w:val="baseline"/>
        </w:rPr>
        <w:t> </w:t>
      </w:r>
      <w:r>
        <w:rPr>
          <w:spacing w:val="-2"/>
          <w:vertAlign w:val="baseline"/>
        </w:rPr>
        <w:t>2004</w:t>
      </w:r>
      <w:r>
        <w:rPr>
          <w:spacing w:val="-10"/>
          <w:vertAlign w:val="baseline"/>
        </w:rPr>
        <w:t> </w:t>
      </w:r>
      <w:r>
        <w:rPr>
          <w:spacing w:val="-2"/>
          <w:vertAlign w:val="baseline"/>
        </w:rPr>
        <w:t>to</w:t>
      </w:r>
      <w:r>
        <w:rPr>
          <w:spacing w:val="-10"/>
          <w:vertAlign w:val="baseline"/>
        </w:rPr>
        <w:t> </w:t>
      </w:r>
      <w:r>
        <w:rPr>
          <w:spacing w:val="-2"/>
          <w:vertAlign w:val="baseline"/>
        </w:rPr>
        <w:t>2012</w:t>
      </w:r>
      <w:r>
        <w:rPr>
          <w:spacing w:val="-10"/>
          <w:vertAlign w:val="baseline"/>
        </w:rPr>
        <w:t> </w:t>
      </w:r>
      <w:r>
        <w:rPr>
          <w:spacing w:val="-2"/>
          <w:vertAlign w:val="baseline"/>
        </w:rPr>
        <w:t>government </w:t>
      </w:r>
      <w:r>
        <w:rPr>
          <w:vertAlign w:val="baseline"/>
        </w:rPr>
        <w:t>revenues</w:t>
      </w:r>
      <w:r>
        <w:rPr>
          <w:spacing w:val="-11"/>
          <w:vertAlign w:val="baseline"/>
        </w:rPr>
        <w:t> </w:t>
      </w:r>
      <w:r>
        <w:rPr>
          <w:vertAlign w:val="baseline"/>
        </w:rPr>
        <w:t>fluctuated</w:t>
      </w:r>
      <w:r>
        <w:rPr>
          <w:spacing w:val="-11"/>
          <w:vertAlign w:val="baseline"/>
        </w:rPr>
        <w:t> </w:t>
      </w:r>
      <w:r>
        <w:rPr>
          <w:vertAlign w:val="baseline"/>
        </w:rPr>
        <w:t>wildly:</w:t>
      </w:r>
      <w:r>
        <w:rPr>
          <w:spacing w:val="3"/>
          <w:vertAlign w:val="baseline"/>
        </w:rPr>
        <w:t> </w:t>
      </w:r>
      <w:r>
        <w:rPr>
          <w:vertAlign w:val="baseline"/>
        </w:rPr>
        <w:t>they</w:t>
      </w:r>
      <w:r>
        <w:rPr>
          <w:spacing w:val="-11"/>
          <w:vertAlign w:val="baseline"/>
        </w:rPr>
        <w:t> </w:t>
      </w:r>
      <w:r>
        <w:rPr>
          <w:vertAlign w:val="baseline"/>
        </w:rPr>
        <w:t>increased</w:t>
      </w:r>
      <w:r>
        <w:rPr>
          <w:spacing w:val="-11"/>
          <w:vertAlign w:val="baseline"/>
        </w:rPr>
        <w:t> </w:t>
      </w:r>
      <w:r>
        <w:rPr>
          <w:vertAlign w:val="baseline"/>
        </w:rPr>
        <w:t>from</w:t>
      </w:r>
      <w:r>
        <w:rPr>
          <w:spacing w:val="-11"/>
          <w:vertAlign w:val="baseline"/>
        </w:rPr>
        <w:t> </w:t>
      </w:r>
      <w:r>
        <w:rPr>
          <w:vertAlign w:val="baseline"/>
        </w:rPr>
        <w:t>USD</w:t>
      </w:r>
      <w:r>
        <w:rPr>
          <w:spacing w:val="-11"/>
          <w:vertAlign w:val="baseline"/>
        </w:rPr>
        <w:t> </w:t>
      </w:r>
      <w:r>
        <w:rPr>
          <w:vertAlign w:val="baseline"/>
        </w:rPr>
        <w:t>14.2</w:t>
      </w:r>
      <w:r>
        <w:rPr>
          <w:spacing w:val="-11"/>
          <w:vertAlign w:val="baseline"/>
        </w:rPr>
        <w:t> </w:t>
      </w:r>
      <w:r>
        <w:rPr>
          <w:vertAlign w:val="baseline"/>
        </w:rPr>
        <w:t>billion</w:t>
      </w:r>
      <w:r>
        <w:rPr>
          <w:spacing w:val="-11"/>
          <w:vertAlign w:val="baseline"/>
        </w:rPr>
        <w:t> </w:t>
      </w:r>
      <w:r>
        <w:rPr>
          <w:vertAlign w:val="baseline"/>
        </w:rPr>
        <w:t>to</w:t>
      </w:r>
      <w:r>
        <w:rPr>
          <w:spacing w:val="-11"/>
          <w:vertAlign w:val="baseline"/>
        </w:rPr>
        <w:t> </w:t>
      </w:r>
      <w:r>
        <w:rPr>
          <w:vertAlign w:val="baseline"/>
        </w:rPr>
        <w:t>USD</w:t>
      </w:r>
      <w:r>
        <w:rPr>
          <w:spacing w:val="-11"/>
          <w:vertAlign w:val="baseline"/>
        </w:rPr>
        <w:t> </w:t>
      </w:r>
      <w:r>
        <w:rPr>
          <w:vertAlign w:val="baseline"/>
        </w:rPr>
        <w:t>17.5</w:t>
      </w:r>
      <w:r>
        <w:rPr>
          <w:spacing w:val="-11"/>
          <w:vertAlign w:val="baseline"/>
        </w:rPr>
        <w:t> </w:t>
      </w:r>
      <w:r>
        <w:rPr>
          <w:vertAlign w:val="baseline"/>
        </w:rPr>
        <w:t>billion</w:t>
      </w:r>
      <w:r>
        <w:rPr>
          <w:spacing w:val="-11"/>
          <w:vertAlign w:val="baseline"/>
        </w:rPr>
        <w:t> </w:t>
      </w:r>
      <w:r>
        <w:rPr>
          <w:vertAlign w:val="baseline"/>
        </w:rPr>
        <w:t>from</w:t>
      </w:r>
      <w:r>
        <w:rPr>
          <w:spacing w:val="-11"/>
          <w:vertAlign w:val="baseline"/>
        </w:rPr>
        <w:t> </w:t>
      </w:r>
      <w:r>
        <w:rPr>
          <w:vertAlign w:val="baseline"/>
        </w:rPr>
        <w:t>2007</w:t>
      </w:r>
      <w:r>
        <w:rPr>
          <w:spacing w:val="-11"/>
          <w:vertAlign w:val="baseline"/>
        </w:rPr>
        <w:t> </w:t>
      </w:r>
      <w:r>
        <w:rPr>
          <w:vertAlign w:val="baseline"/>
        </w:rPr>
        <w:t>to</w:t>
      </w:r>
      <w:r>
        <w:rPr>
          <w:spacing w:val="-11"/>
          <w:vertAlign w:val="baseline"/>
        </w:rPr>
        <w:t> </w:t>
      </w:r>
      <w:r>
        <w:rPr>
          <w:vertAlign w:val="baseline"/>
        </w:rPr>
        <w:t>2008 (23% growth) before falling by USD 2.4 billion the following year.</w:t>
      </w:r>
      <w:r>
        <w:rPr>
          <w:spacing w:val="25"/>
          <w:vertAlign w:val="baseline"/>
        </w:rPr>
        <w:t> </w:t>
      </w:r>
      <w:r>
        <w:rPr>
          <w:vertAlign w:val="baseline"/>
        </w:rPr>
        <w:t>These changes in revenue correlate closely with real oil prices.</w:t>
      </w:r>
      <w:r>
        <w:rPr>
          <w:spacing w:val="40"/>
          <w:vertAlign w:val="baseline"/>
        </w:rPr>
        <w:t> </w:t>
      </w:r>
      <w:r>
        <w:rPr>
          <w:vertAlign w:val="baseline"/>
        </w:rPr>
        <w:t>Moreover, following a steep reduction in violence during the high-price 2008-2015 period (partly due to a military crackdown and government payments to rebels), violence re-emerged in the Niger Delta concurrently with a sharp decline in government oil revenue in 2015.</w:t>
      </w:r>
    </w:p>
    <w:p>
      <w:pPr>
        <w:pStyle w:val="BodyText"/>
        <w:spacing w:before="4"/>
        <w:rPr>
          <w:sz w:val="26"/>
        </w:rPr>
      </w:pPr>
    </w:p>
    <w:p>
      <w:pPr>
        <w:pStyle w:val="Heading2"/>
        <w:numPr>
          <w:ilvl w:val="1"/>
          <w:numId w:val="1"/>
        </w:numPr>
        <w:tabs>
          <w:tab w:pos="749" w:val="left" w:leader="none"/>
          <w:tab w:pos="751" w:val="left" w:leader="none"/>
        </w:tabs>
        <w:spacing w:line="240" w:lineRule="auto" w:before="0" w:after="0"/>
        <w:ind w:left="750" w:right="0" w:hanging="614"/>
        <w:jc w:val="left"/>
      </w:pPr>
      <w:r>
        <w:rPr>
          <w:spacing w:val="-4"/>
        </w:rPr>
        <w:t>Rebellion</w:t>
      </w:r>
      <w:r>
        <w:rPr>
          <w:spacing w:val="3"/>
        </w:rPr>
        <w:t> </w:t>
      </w:r>
      <w:r>
        <w:rPr>
          <w:spacing w:val="-4"/>
        </w:rPr>
        <w:t>in</w:t>
      </w:r>
      <w:r>
        <w:rPr>
          <w:spacing w:val="4"/>
        </w:rPr>
        <w:t> </w:t>
      </w:r>
      <w:r>
        <w:rPr>
          <w:spacing w:val="-4"/>
        </w:rPr>
        <w:t>the</w:t>
      </w:r>
      <w:r>
        <w:rPr>
          <w:spacing w:val="3"/>
        </w:rPr>
        <w:t> </w:t>
      </w:r>
      <w:r>
        <w:rPr>
          <w:spacing w:val="-4"/>
        </w:rPr>
        <w:t>Niger</w:t>
      </w:r>
      <w:r>
        <w:rPr>
          <w:spacing w:val="4"/>
        </w:rPr>
        <w:t> </w:t>
      </w:r>
      <w:r>
        <w:rPr>
          <w:spacing w:val="-4"/>
        </w:rPr>
        <w:t>Delta</w:t>
      </w:r>
    </w:p>
    <w:p>
      <w:pPr>
        <w:pStyle w:val="BodyText"/>
        <w:spacing w:line="307" w:lineRule="auto" w:before="191"/>
        <w:ind w:left="137" w:right="1791" w:firstLine="298"/>
        <w:jc w:val="both"/>
        <w:rPr>
          <w:rFonts w:ascii="Century Gothic" w:hAnsi="Century Gothic"/>
        </w:rPr>
      </w:pPr>
      <w:r>
        <w:rPr/>
        <w:t>The</w:t>
      </w:r>
      <w:r>
        <w:rPr>
          <w:spacing w:val="-7"/>
        </w:rPr>
        <w:t> </w:t>
      </w:r>
      <w:r>
        <w:rPr/>
        <w:t>Niger</w:t>
      </w:r>
      <w:r>
        <w:rPr>
          <w:spacing w:val="-7"/>
        </w:rPr>
        <w:t> </w:t>
      </w:r>
      <w:r>
        <w:rPr/>
        <w:t>Delta</w:t>
      </w:r>
      <w:r>
        <w:rPr>
          <w:spacing w:val="-7"/>
        </w:rPr>
        <w:t> </w:t>
      </w:r>
      <w:r>
        <w:rPr/>
        <w:t>region</w:t>
      </w:r>
      <w:r>
        <w:rPr>
          <w:spacing w:val="-7"/>
        </w:rPr>
        <w:t> </w:t>
      </w:r>
      <w:r>
        <w:rPr/>
        <w:t>is</w:t>
      </w:r>
      <w:r>
        <w:rPr>
          <w:spacing w:val="-7"/>
        </w:rPr>
        <w:t> </w:t>
      </w:r>
      <w:r>
        <w:rPr/>
        <w:t>of</w:t>
      </w:r>
      <w:r>
        <w:rPr>
          <w:spacing w:val="-7"/>
        </w:rPr>
        <w:t> </w:t>
      </w:r>
      <w:r>
        <w:rPr/>
        <w:t>incredible</w:t>
      </w:r>
      <w:r>
        <w:rPr>
          <w:spacing w:val="-7"/>
        </w:rPr>
        <w:t> </w:t>
      </w:r>
      <w:r>
        <w:rPr/>
        <w:t>importance</w:t>
      </w:r>
      <w:r>
        <w:rPr>
          <w:spacing w:val="-7"/>
        </w:rPr>
        <w:t> </w:t>
      </w:r>
      <w:r>
        <w:rPr/>
        <w:t>to</w:t>
      </w:r>
      <w:r>
        <w:rPr>
          <w:spacing w:val="-7"/>
        </w:rPr>
        <w:t> </w:t>
      </w:r>
      <w:r>
        <w:rPr/>
        <w:t>both</w:t>
      </w:r>
      <w:r>
        <w:rPr>
          <w:spacing w:val="-7"/>
        </w:rPr>
        <w:t> </w:t>
      </w:r>
      <w:r>
        <w:rPr/>
        <w:t>the</w:t>
      </w:r>
      <w:r>
        <w:rPr>
          <w:spacing w:val="-7"/>
        </w:rPr>
        <w:t> </w:t>
      </w:r>
      <w:r>
        <w:rPr/>
        <w:t>livelihood</w:t>
      </w:r>
      <w:r>
        <w:rPr>
          <w:spacing w:val="-7"/>
        </w:rPr>
        <w:t> </w:t>
      </w:r>
      <w:r>
        <w:rPr/>
        <w:t>of</w:t>
      </w:r>
      <w:r>
        <w:rPr>
          <w:spacing w:val="-7"/>
        </w:rPr>
        <w:t> </w:t>
      </w:r>
      <w:r>
        <w:rPr/>
        <w:t>the</w:t>
      </w:r>
      <w:r>
        <w:rPr>
          <w:spacing w:val="-7"/>
        </w:rPr>
        <w:t> </w:t>
      </w:r>
      <w:r>
        <w:rPr/>
        <w:t>people</w:t>
      </w:r>
      <w:r>
        <w:rPr>
          <w:spacing w:val="-7"/>
        </w:rPr>
        <w:t> </w:t>
      </w:r>
      <w:r>
        <w:rPr/>
        <w:t>of</w:t>
      </w:r>
      <w:r>
        <w:rPr>
          <w:spacing w:val="-7"/>
        </w:rPr>
        <w:t> </w:t>
      </w:r>
      <w:r>
        <w:rPr/>
        <w:t>the</w:t>
      </w:r>
      <w:r>
        <w:rPr>
          <w:spacing w:val="-7"/>
        </w:rPr>
        <w:t> </w:t>
      </w:r>
      <w:r>
        <w:rPr/>
        <w:t>region, the central government and the global economy.</w:t>
      </w:r>
      <w:r>
        <w:rPr>
          <w:spacing w:val="36"/>
        </w:rPr>
        <w:t> </w:t>
      </w:r>
      <w:r>
        <w:rPr/>
        <w:t>Sixty percent of the people in the region rely on the </w:t>
      </w:r>
      <w:r>
        <w:rPr>
          <w:spacing w:val="-2"/>
        </w:rPr>
        <w:t>environment</w:t>
      </w:r>
      <w:r>
        <w:rPr>
          <w:spacing w:val="-11"/>
        </w:rPr>
        <w:t> </w:t>
      </w:r>
      <w:r>
        <w:rPr>
          <w:spacing w:val="-2"/>
        </w:rPr>
        <w:t>for</w:t>
      </w:r>
      <w:r>
        <w:rPr>
          <w:spacing w:val="-10"/>
        </w:rPr>
        <w:t> </w:t>
      </w:r>
      <w:r>
        <w:rPr>
          <w:spacing w:val="-2"/>
        </w:rPr>
        <w:t>their</w:t>
      </w:r>
      <w:r>
        <w:rPr>
          <w:spacing w:val="-10"/>
        </w:rPr>
        <w:t> </w:t>
      </w:r>
      <w:r>
        <w:rPr>
          <w:spacing w:val="-2"/>
        </w:rPr>
        <w:t>livelihood,</w:t>
      </w:r>
      <w:r>
        <w:rPr>
          <w:spacing w:val="-10"/>
        </w:rPr>
        <w:t> </w:t>
      </w:r>
      <w:r>
        <w:rPr>
          <w:spacing w:val="-2"/>
        </w:rPr>
        <w:t>making</w:t>
      </w:r>
      <w:r>
        <w:rPr>
          <w:spacing w:val="-10"/>
        </w:rPr>
        <w:t> </w:t>
      </w:r>
      <w:r>
        <w:rPr>
          <w:spacing w:val="-2"/>
        </w:rPr>
        <w:t>the</w:t>
      </w:r>
      <w:r>
        <w:rPr>
          <w:spacing w:val="-10"/>
        </w:rPr>
        <w:t> </w:t>
      </w:r>
      <w:r>
        <w:rPr>
          <w:spacing w:val="-2"/>
        </w:rPr>
        <w:t>people</w:t>
      </w:r>
      <w:r>
        <w:rPr>
          <w:spacing w:val="-10"/>
        </w:rPr>
        <w:t> </w:t>
      </w:r>
      <w:r>
        <w:rPr>
          <w:spacing w:val="-2"/>
        </w:rPr>
        <w:t>of</w:t>
      </w:r>
      <w:r>
        <w:rPr>
          <w:spacing w:val="-10"/>
        </w:rPr>
        <w:t> </w:t>
      </w:r>
      <w:r>
        <w:rPr>
          <w:spacing w:val="-2"/>
        </w:rPr>
        <w:t>this</w:t>
      </w:r>
      <w:r>
        <w:rPr>
          <w:spacing w:val="-10"/>
        </w:rPr>
        <w:t> </w:t>
      </w:r>
      <w:r>
        <w:rPr>
          <w:spacing w:val="-2"/>
        </w:rPr>
        <w:t>region</w:t>
      </w:r>
      <w:r>
        <w:rPr>
          <w:spacing w:val="-10"/>
        </w:rPr>
        <w:t> </w:t>
      </w:r>
      <w:r>
        <w:rPr>
          <w:spacing w:val="-2"/>
        </w:rPr>
        <w:t>incredibly</w:t>
      </w:r>
      <w:r>
        <w:rPr>
          <w:spacing w:val="-10"/>
        </w:rPr>
        <w:t> </w:t>
      </w:r>
      <w:r>
        <w:rPr>
          <w:spacing w:val="-2"/>
        </w:rPr>
        <w:t>vulnerable</w:t>
      </w:r>
      <w:r>
        <w:rPr>
          <w:spacing w:val="-10"/>
        </w:rPr>
        <w:t> </w:t>
      </w:r>
      <w:r>
        <w:rPr>
          <w:spacing w:val="-2"/>
        </w:rPr>
        <w:t>to</w:t>
      </w:r>
      <w:r>
        <w:rPr>
          <w:spacing w:val="-10"/>
        </w:rPr>
        <w:t> </w:t>
      </w:r>
      <w:r>
        <w:rPr>
          <w:spacing w:val="-2"/>
        </w:rPr>
        <w:t>environmental </w:t>
      </w:r>
      <w:r>
        <w:rPr/>
        <w:t>damage.</w:t>
      </w:r>
      <w:r>
        <w:rPr>
          <w:rFonts w:ascii="Century Gothic" w:hAnsi="Century Gothic"/>
          <w:vertAlign w:val="superscript"/>
        </w:rPr>
        <w:t>59</w:t>
      </w:r>
      <w:r>
        <w:rPr>
          <w:rFonts w:ascii="Century Gothic" w:hAnsi="Century Gothic"/>
          <w:spacing w:val="40"/>
          <w:vertAlign w:val="baseline"/>
        </w:rPr>
        <w:t> </w:t>
      </w:r>
      <w:r>
        <w:rPr>
          <w:vertAlign w:val="baseline"/>
        </w:rPr>
        <w:t>This region has been subject to civil conflict due to environmental degradation affecting civilian</w:t>
      </w:r>
      <w:r>
        <w:rPr>
          <w:spacing w:val="-13"/>
          <w:vertAlign w:val="baseline"/>
        </w:rPr>
        <w:t> </w:t>
      </w:r>
      <w:r>
        <w:rPr>
          <w:vertAlign w:val="baseline"/>
        </w:rPr>
        <w:t>incomes.</w:t>
      </w:r>
      <w:r>
        <w:rPr>
          <w:spacing w:val="-2"/>
          <w:vertAlign w:val="baseline"/>
        </w:rPr>
        <w:t> </w:t>
      </w:r>
      <w:r>
        <w:rPr>
          <w:vertAlign w:val="baseline"/>
        </w:rPr>
        <w:t>The</w:t>
      </w:r>
      <w:r>
        <w:rPr>
          <w:spacing w:val="-12"/>
          <w:vertAlign w:val="baseline"/>
        </w:rPr>
        <w:t> </w:t>
      </w:r>
      <w:r>
        <w:rPr>
          <w:vertAlign w:val="baseline"/>
        </w:rPr>
        <w:t>Delta</w:t>
      </w:r>
      <w:r>
        <w:rPr>
          <w:spacing w:val="-12"/>
          <w:vertAlign w:val="baseline"/>
        </w:rPr>
        <w:t> </w:t>
      </w:r>
      <w:r>
        <w:rPr>
          <w:vertAlign w:val="baseline"/>
        </w:rPr>
        <w:t>has</w:t>
      </w:r>
      <w:r>
        <w:rPr>
          <w:spacing w:val="-12"/>
          <w:vertAlign w:val="baseline"/>
        </w:rPr>
        <w:t> </w:t>
      </w:r>
      <w:r>
        <w:rPr>
          <w:vertAlign w:val="baseline"/>
        </w:rPr>
        <w:t>been</w:t>
      </w:r>
      <w:r>
        <w:rPr>
          <w:spacing w:val="-12"/>
          <w:vertAlign w:val="baseline"/>
        </w:rPr>
        <w:t> </w:t>
      </w:r>
      <w:r>
        <w:rPr>
          <w:vertAlign w:val="baseline"/>
        </w:rPr>
        <w:t>described</w:t>
      </w:r>
      <w:r>
        <w:rPr>
          <w:spacing w:val="-12"/>
          <w:vertAlign w:val="baseline"/>
        </w:rPr>
        <w:t> </w:t>
      </w:r>
      <w:r>
        <w:rPr>
          <w:vertAlign w:val="baseline"/>
        </w:rPr>
        <w:t>as</w:t>
      </w:r>
      <w:r>
        <w:rPr>
          <w:spacing w:val="-13"/>
          <w:vertAlign w:val="baseline"/>
        </w:rPr>
        <w:t> </w:t>
      </w:r>
      <w:r>
        <w:rPr>
          <w:vertAlign w:val="baseline"/>
        </w:rPr>
        <w:t>‘one</w:t>
      </w:r>
      <w:r>
        <w:rPr>
          <w:spacing w:val="-12"/>
          <w:vertAlign w:val="baseline"/>
        </w:rPr>
        <w:t> </w:t>
      </w:r>
      <w:r>
        <w:rPr>
          <w:vertAlign w:val="baseline"/>
        </w:rPr>
        <w:t>of</w:t>
      </w:r>
      <w:r>
        <w:rPr>
          <w:spacing w:val="-12"/>
          <w:vertAlign w:val="baseline"/>
        </w:rPr>
        <w:t> </w:t>
      </w:r>
      <w:r>
        <w:rPr>
          <w:vertAlign w:val="baseline"/>
        </w:rPr>
        <w:t>the</w:t>
      </w:r>
      <w:r>
        <w:rPr>
          <w:spacing w:val="-12"/>
          <w:vertAlign w:val="baseline"/>
        </w:rPr>
        <w:t> </w:t>
      </w:r>
      <w:r>
        <w:rPr>
          <w:vertAlign w:val="baseline"/>
        </w:rPr>
        <w:t>world’s</w:t>
      </w:r>
      <w:r>
        <w:rPr>
          <w:spacing w:val="-12"/>
          <w:vertAlign w:val="baseline"/>
        </w:rPr>
        <w:t> </w:t>
      </w:r>
      <w:r>
        <w:rPr>
          <w:vertAlign w:val="baseline"/>
        </w:rPr>
        <w:t>most</w:t>
      </w:r>
      <w:r>
        <w:rPr>
          <w:spacing w:val="-12"/>
          <w:vertAlign w:val="baseline"/>
        </w:rPr>
        <w:t> </w:t>
      </w:r>
      <w:r>
        <w:rPr>
          <w:vertAlign w:val="baseline"/>
        </w:rPr>
        <w:t>severely</w:t>
      </w:r>
      <w:r>
        <w:rPr>
          <w:spacing w:val="-12"/>
          <w:vertAlign w:val="baseline"/>
        </w:rPr>
        <w:t> </w:t>
      </w:r>
      <w:r>
        <w:rPr>
          <w:vertAlign w:val="baseline"/>
        </w:rPr>
        <w:t>petroleum-impacted ecosystems and one of the 5 most petroleum-polluted environments in the world’.</w:t>
      </w:r>
      <w:r>
        <w:rPr>
          <w:rFonts w:ascii="Century Gothic" w:hAnsi="Century Gothic"/>
          <w:vertAlign w:val="superscript"/>
        </w:rPr>
        <w:t>60</w:t>
      </w:r>
    </w:p>
    <w:p>
      <w:pPr>
        <w:pStyle w:val="BodyText"/>
        <w:spacing w:line="297" w:lineRule="auto" w:before="144"/>
        <w:ind w:left="137" w:right="1792" w:firstLine="298"/>
        <w:jc w:val="both"/>
      </w:pPr>
      <w:r>
        <w:rPr/>
        <w:pict>
          <v:shape style="position:absolute;margin-left:70.865997pt;margin-top:39.426918pt;width:179.75pt;height:.1pt;mso-position-horizontal-relative:page;mso-position-vertical-relative:paragraph;z-index:-15716864;mso-wrap-distance-left:0;mso-wrap-distance-right:0" id="docshape25" coordorigin="1417,789" coordsize="3595,0" path="m1417,789l5012,789e" filled="false" stroked="true" strokeweight=".398pt" strokecolor="#000000">
            <v:path arrowok="t"/>
            <v:stroke dashstyle="solid"/>
            <w10:wrap type="topAndBottom"/>
          </v:shape>
        </w:pict>
      </w:r>
      <w:r>
        <w:rPr/>
        <w:t>In</w:t>
      </w:r>
      <w:r>
        <w:rPr>
          <w:spacing w:val="-3"/>
        </w:rPr>
        <w:t> </w:t>
      </w:r>
      <w:r>
        <w:rPr/>
        <w:t>recent</w:t>
      </w:r>
      <w:r>
        <w:rPr>
          <w:spacing w:val="-3"/>
        </w:rPr>
        <w:t> </w:t>
      </w:r>
      <w:r>
        <w:rPr/>
        <w:t>decades,</w:t>
      </w:r>
      <w:r>
        <w:rPr>
          <w:spacing w:val="-3"/>
        </w:rPr>
        <w:t> </w:t>
      </w:r>
      <w:r>
        <w:rPr/>
        <w:t>resistance</w:t>
      </w:r>
      <w:r>
        <w:rPr>
          <w:spacing w:val="-4"/>
        </w:rPr>
        <w:t> </w:t>
      </w:r>
      <w:r>
        <w:rPr/>
        <w:t>movements</w:t>
      </w:r>
      <w:r>
        <w:rPr>
          <w:spacing w:val="-3"/>
        </w:rPr>
        <w:t> </w:t>
      </w:r>
      <w:r>
        <w:rPr/>
        <w:t>have</w:t>
      </w:r>
      <w:r>
        <w:rPr>
          <w:spacing w:val="-3"/>
        </w:rPr>
        <w:t> </w:t>
      </w:r>
      <w:r>
        <w:rPr/>
        <w:t>formed</w:t>
      </w:r>
      <w:r>
        <w:rPr>
          <w:spacing w:val="-4"/>
        </w:rPr>
        <w:t> </w:t>
      </w:r>
      <w:r>
        <w:rPr/>
        <w:t>in</w:t>
      </w:r>
      <w:r>
        <w:rPr>
          <w:spacing w:val="-3"/>
        </w:rPr>
        <w:t> </w:t>
      </w:r>
      <w:r>
        <w:rPr/>
        <w:t>opposition</w:t>
      </w:r>
      <w:r>
        <w:rPr>
          <w:spacing w:val="-3"/>
        </w:rPr>
        <w:t> </w:t>
      </w:r>
      <w:r>
        <w:rPr/>
        <w:t>to</w:t>
      </w:r>
      <w:r>
        <w:rPr>
          <w:spacing w:val="-3"/>
        </w:rPr>
        <w:t> </w:t>
      </w:r>
      <w:r>
        <w:rPr/>
        <w:t>this</w:t>
      </w:r>
      <w:r>
        <w:rPr>
          <w:spacing w:val="-3"/>
        </w:rPr>
        <w:t> </w:t>
      </w:r>
      <w:r>
        <w:rPr/>
        <w:t>damage</w:t>
      </w:r>
      <w:r>
        <w:rPr>
          <w:spacing w:val="-3"/>
        </w:rPr>
        <w:t> </w:t>
      </w:r>
      <w:r>
        <w:rPr/>
        <w:t>and</w:t>
      </w:r>
      <w:r>
        <w:rPr>
          <w:spacing w:val="-4"/>
        </w:rPr>
        <w:t> </w:t>
      </w:r>
      <w:r>
        <w:rPr/>
        <w:t>the</w:t>
      </w:r>
      <w:r>
        <w:rPr>
          <w:spacing w:val="-3"/>
        </w:rPr>
        <w:t> </w:t>
      </w:r>
      <w:r>
        <w:rPr/>
        <w:t>central government’s</w:t>
      </w:r>
      <w:r>
        <w:rPr>
          <w:spacing w:val="18"/>
        </w:rPr>
        <w:t> </w:t>
      </w:r>
      <w:r>
        <w:rPr/>
        <w:t>inability</w:t>
      </w:r>
      <w:r>
        <w:rPr>
          <w:spacing w:val="18"/>
        </w:rPr>
        <w:t> </w:t>
      </w:r>
      <w:r>
        <w:rPr/>
        <w:t>to</w:t>
      </w:r>
      <w:r>
        <w:rPr>
          <w:spacing w:val="19"/>
        </w:rPr>
        <w:t> </w:t>
      </w:r>
      <w:r>
        <w:rPr/>
        <w:t>equitably</w:t>
      </w:r>
      <w:r>
        <w:rPr>
          <w:spacing w:val="18"/>
        </w:rPr>
        <w:t> </w:t>
      </w:r>
      <w:r>
        <w:rPr/>
        <w:t>distribute</w:t>
      </w:r>
      <w:r>
        <w:rPr>
          <w:spacing w:val="18"/>
        </w:rPr>
        <w:t> </w:t>
      </w:r>
      <w:r>
        <w:rPr/>
        <w:t>oil</w:t>
      </w:r>
      <w:r>
        <w:rPr>
          <w:spacing w:val="19"/>
        </w:rPr>
        <w:t> </w:t>
      </w:r>
      <w:r>
        <w:rPr/>
        <w:t>revenues</w:t>
      </w:r>
      <w:r>
        <w:rPr>
          <w:spacing w:val="18"/>
        </w:rPr>
        <w:t> </w:t>
      </w:r>
      <w:r>
        <w:rPr/>
        <w:t>to</w:t>
      </w:r>
      <w:r>
        <w:rPr>
          <w:spacing w:val="18"/>
        </w:rPr>
        <w:t> </w:t>
      </w:r>
      <w:r>
        <w:rPr/>
        <w:t>the</w:t>
      </w:r>
      <w:r>
        <w:rPr>
          <w:spacing w:val="19"/>
        </w:rPr>
        <w:t> </w:t>
      </w:r>
      <w:r>
        <w:rPr/>
        <w:t>civilian</w:t>
      </w:r>
      <w:r>
        <w:rPr>
          <w:spacing w:val="18"/>
        </w:rPr>
        <w:t> </w:t>
      </w:r>
      <w:r>
        <w:rPr/>
        <w:t>population.</w:t>
      </w:r>
      <w:r>
        <w:rPr>
          <w:rFonts w:ascii="Century Gothic" w:hAnsi="Century Gothic"/>
          <w:vertAlign w:val="superscript"/>
        </w:rPr>
        <w:t>61</w:t>
      </w:r>
      <w:r>
        <w:rPr>
          <w:rFonts w:ascii="Century Gothic" w:hAnsi="Century Gothic"/>
          <w:spacing w:val="66"/>
          <w:vertAlign w:val="baseline"/>
        </w:rPr>
        <w:t> </w:t>
      </w:r>
      <w:r>
        <w:rPr>
          <w:vertAlign w:val="baseline"/>
        </w:rPr>
        <w:t>An</w:t>
      </w:r>
      <w:r>
        <w:rPr>
          <w:spacing w:val="19"/>
          <w:vertAlign w:val="baseline"/>
        </w:rPr>
        <w:t> </w:t>
      </w:r>
      <w:r>
        <w:rPr>
          <w:spacing w:val="-2"/>
          <w:vertAlign w:val="baseline"/>
        </w:rPr>
        <w:t>umbrella</w:t>
      </w:r>
    </w:p>
    <w:p>
      <w:pPr>
        <w:spacing w:before="34"/>
        <w:ind w:left="286" w:right="0" w:firstLine="0"/>
        <w:jc w:val="left"/>
        <w:rPr>
          <w:rFonts w:ascii="Bookman Old Style"/>
          <w:b w:val="0"/>
          <w:sz w:val="16"/>
        </w:rPr>
      </w:pPr>
      <w:r>
        <w:rPr>
          <w:rFonts w:ascii="Bookman Old Style"/>
          <w:b w:val="0"/>
          <w:spacing w:val="-2"/>
          <w:sz w:val="16"/>
          <w:vertAlign w:val="superscript"/>
        </w:rPr>
        <w:t>57</w:t>
      </w:r>
      <w:r>
        <w:rPr>
          <w:rFonts w:ascii="Bookman Old Style"/>
          <w:b w:val="0"/>
          <w:spacing w:val="-2"/>
          <w:sz w:val="16"/>
          <w:vertAlign w:val="baseline"/>
        </w:rPr>
        <w:t>Azam</w:t>
      </w:r>
      <w:r>
        <w:rPr>
          <w:rFonts w:ascii="Bookman Old Style"/>
          <w:b w:val="0"/>
          <w:spacing w:val="-6"/>
          <w:sz w:val="16"/>
          <w:vertAlign w:val="baseline"/>
        </w:rPr>
        <w:t> </w:t>
      </w:r>
      <w:r>
        <w:rPr>
          <w:rFonts w:ascii="Bookman Old Style"/>
          <w:b w:val="0"/>
          <w:spacing w:val="-2"/>
          <w:sz w:val="16"/>
          <w:vertAlign w:val="baseline"/>
        </w:rPr>
        <w:t>(2001);</w:t>
      </w:r>
      <w:r>
        <w:rPr>
          <w:rFonts w:ascii="Bookman Old Style"/>
          <w:b w:val="0"/>
          <w:spacing w:val="-5"/>
          <w:sz w:val="16"/>
          <w:vertAlign w:val="baseline"/>
        </w:rPr>
        <w:t> </w:t>
      </w:r>
      <w:r>
        <w:rPr>
          <w:rFonts w:ascii="Bookman Old Style"/>
          <w:b w:val="0"/>
          <w:spacing w:val="-2"/>
          <w:sz w:val="16"/>
          <w:vertAlign w:val="baseline"/>
        </w:rPr>
        <w:t>Taydas</w:t>
      </w:r>
      <w:r>
        <w:rPr>
          <w:rFonts w:ascii="Bookman Old Style"/>
          <w:b w:val="0"/>
          <w:spacing w:val="-5"/>
          <w:sz w:val="16"/>
          <w:vertAlign w:val="baseline"/>
        </w:rPr>
        <w:t> </w:t>
      </w:r>
      <w:r>
        <w:rPr>
          <w:rFonts w:ascii="Bookman Old Style"/>
          <w:b w:val="0"/>
          <w:spacing w:val="-2"/>
          <w:sz w:val="16"/>
          <w:vertAlign w:val="baseline"/>
        </w:rPr>
        <w:t>and</w:t>
      </w:r>
      <w:r>
        <w:rPr>
          <w:rFonts w:ascii="Bookman Old Style"/>
          <w:b w:val="0"/>
          <w:spacing w:val="-6"/>
          <w:sz w:val="16"/>
          <w:vertAlign w:val="baseline"/>
        </w:rPr>
        <w:t> </w:t>
      </w:r>
      <w:r>
        <w:rPr>
          <w:rFonts w:ascii="Bookman Old Style"/>
          <w:b w:val="0"/>
          <w:spacing w:val="-2"/>
          <w:sz w:val="16"/>
          <w:vertAlign w:val="baseline"/>
        </w:rPr>
        <w:t>Peken</w:t>
      </w:r>
      <w:r>
        <w:rPr>
          <w:rFonts w:ascii="Bookman Old Style"/>
          <w:b w:val="0"/>
          <w:spacing w:val="-5"/>
          <w:sz w:val="16"/>
          <w:vertAlign w:val="baseline"/>
        </w:rPr>
        <w:t> </w:t>
      </w:r>
      <w:r>
        <w:rPr>
          <w:rFonts w:ascii="Bookman Old Style"/>
          <w:b w:val="0"/>
          <w:spacing w:val="-2"/>
          <w:sz w:val="16"/>
          <w:vertAlign w:val="baseline"/>
        </w:rPr>
        <w:t>(2012);</w:t>
      </w:r>
      <w:r>
        <w:rPr>
          <w:rFonts w:ascii="Bookman Old Style"/>
          <w:b w:val="0"/>
          <w:spacing w:val="-5"/>
          <w:sz w:val="16"/>
          <w:vertAlign w:val="baseline"/>
        </w:rPr>
        <w:t> </w:t>
      </w:r>
      <w:r>
        <w:rPr>
          <w:rFonts w:ascii="Bookman Old Style"/>
          <w:b w:val="0"/>
          <w:spacing w:val="-2"/>
          <w:sz w:val="16"/>
          <w:vertAlign w:val="baseline"/>
        </w:rPr>
        <w:t>Singh</w:t>
      </w:r>
      <w:r>
        <w:rPr>
          <w:rFonts w:ascii="Bookman Old Style"/>
          <w:b w:val="0"/>
          <w:spacing w:val="-5"/>
          <w:sz w:val="16"/>
          <w:vertAlign w:val="baseline"/>
        </w:rPr>
        <w:t> </w:t>
      </w:r>
      <w:r>
        <w:rPr>
          <w:rFonts w:ascii="Bookman Old Style"/>
          <w:b w:val="0"/>
          <w:spacing w:val="-2"/>
          <w:sz w:val="16"/>
          <w:vertAlign w:val="baseline"/>
        </w:rPr>
        <w:t>et</w:t>
      </w:r>
      <w:r>
        <w:rPr>
          <w:rFonts w:ascii="Bookman Old Style"/>
          <w:b w:val="0"/>
          <w:spacing w:val="-6"/>
          <w:sz w:val="16"/>
          <w:vertAlign w:val="baseline"/>
        </w:rPr>
        <w:t> </w:t>
      </w:r>
      <w:r>
        <w:rPr>
          <w:rFonts w:ascii="Bookman Old Style"/>
          <w:b w:val="0"/>
          <w:spacing w:val="-2"/>
          <w:sz w:val="16"/>
          <w:vertAlign w:val="baseline"/>
        </w:rPr>
        <w:t>al.</w:t>
      </w:r>
      <w:r>
        <w:rPr>
          <w:rFonts w:ascii="Bookman Old Style"/>
          <w:b w:val="0"/>
          <w:spacing w:val="11"/>
          <w:sz w:val="16"/>
          <w:vertAlign w:val="baseline"/>
        </w:rPr>
        <w:t> </w:t>
      </w:r>
      <w:r>
        <w:rPr>
          <w:rFonts w:ascii="Bookman Old Style"/>
          <w:b w:val="0"/>
          <w:spacing w:val="-2"/>
          <w:sz w:val="16"/>
          <w:vertAlign w:val="baseline"/>
        </w:rPr>
        <w:t>(n.p.).</w:t>
      </w:r>
    </w:p>
    <w:p>
      <w:pPr>
        <w:spacing w:before="2"/>
        <w:ind w:left="286" w:right="0" w:firstLine="0"/>
        <w:jc w:val="left"/>
        <w:rPr>
          <w:rFonts w:ascii="Bookman Old Style"/>
          <w:b w:val="0"/>
          <w:sz w:val="16"/>
        </w:rPr>
      </w:pPr>
      <w:r>
        <w:rPr>
          <w:rFonts w:ascii="Bookman Old Style"/>
          <w:b w:val="0"/>
          <w:w w:val="105"/>
          <w:sz w:val="16"/>
          <w:vertAlign w:val="superscript"/>
        </w:rPr>
        <w:t>58</w:t>
      </w:r>
      <w:r>
        <w:rPr>
          <w:rFonts w:ascii="Bookman Old Style"/>
          <w:b w:val="0"/>
          <w:w w:val="105"/>
          <w:sz w:val="16"/>
          <w:vertAlign w:val="baseline"/>
        </w:rPr>
        <w:t>OPEC</w:t>
      </w:r>
      <w:r>
        <w:rPr>
          <w:rFonts w:ascii="Bookman Old Style"/>
          <w:b w:val="0"/>
          <w:spacing w:val="26"/>
          <w:w w:val="105"/>
          <w:sz w:val="16"/>
          <w:vertAlign w:val="baseline"/>
        </w:rPr>
        <w:t> </w:t>
      </w:r>
      <w:r>
        <w:rPr>
          <w:rFonts w:ascii="Bookman Old Style"/>
          <w:b w:val="0"/>
          <w:spacing w:val="-2"/>
          <w:w w:val="105"/>
          <w:sz w:val="16"/>
          <w:vertAlign w:val="baseline"/>
        </w:rPr>
        <w:t>(2019).</w:t>
      </w:r>
    </w:p>
    <w:p>
      <w:pPr>
        <w:spacing w:before="3"/>
        <w:ind w:left="286" w:right="0" w:firstLine="0"/>
        <w:jc w:val="left"/>
        <w:rPr>
          <w:rFonts w:ascii="Bookman Old Style"/>
          <w:b w:val="0"/>
          <w:sz w:val="16"/>
        </w:rPr>
      </w:pPr>
      <w:r>
        <w:rPr>
          <w:rFonts w:ascii="Bookman Old Style"/>
          <w:b w:val="0"/>
          <w:sz w:val="16"/>
          <w:vertAlign w:val="superscript"/>
        </w:rPr>
        <w:t>59</w:t>
      </w:r>
      <w:r>
        <w:rPr>
          <w:rFonts w:ascii="Bookman Old Style"/>
          <w:b w:val="0"/>
          <w:sz w:val="16"/>
          <w:vertAlign w:val="baseline"/>
        </w:rPr>
        <w:t>Francis</w:t>
      </w:r>
      <w:r>
        <w:rPr>
          <w:rFonts w:ascii="Bookman Old Style"/>
          <w:b w:val="0"/>
          <w:spacing w:val="-10"/>
          <w:sz w:val="16"/>
          <w:vertAlign w:val="baseline"/>
        </w:rPr>
        <w:t> </w:t>
      </w:r>
      <w:r>
        <w:rPr>
          <w:rFonts w:ascii="Bookman Old Style"/>
          <w:b w:val="0"/>
          <w:sz w:val="16"/>
          <w:vertAlign w:val="baseline"/>
        </w:rPr>
        <w:t>et</w:t>
      </w:r>
      <w:r>
        <w:rPr>
          <w:rFonts w:ascii="Bookman Old Style"/>
          <w:b w:val="0"/>
          <w:spacing w:val="-10"/>
          <w:sz w:val="16"/>
          <w:vertAlign w:val="baseline"/>
        </w:rPr>
        <w:t> </w:t>
      </w:r>
      <w:r>
        <w:rPr>
          <w:rFonts w:ascii="Bookman Old Style"/>
          <w:b w:val="0"/>
          <w:sz w:val="16"/>
          <w:vertAlign w:val="baseline"/>
        </w:rPr>
        <w:t>al.</w:t>
      </w:r>
      <w:r>
        <w:rPr>
          <w:rFonts w:ascii="Bookman Old Style"/>
          <w:b w:val="0"/>
          <w:spacing w:val="5"/>
          <w:sz w:val="16"/>
          <w:vertAlign w:val="baseline"/>
        </w:rPr>
        <w:t> </w:t>
      </w:r>
      <w:r>
        <w:rPr>
          <w:rFonts w:ascii="Bookman Old Style"/>
          <w:b w:val="0"/>
          <w:spacing w:val="-2"/>
          <w:sz w:val="16"/>
          <w:vertAlign w:val="baseline"/>
        </w:rPr>
        <w:t>(2011).</w:t>
      </w:r>
    </w:p>
    <w:p>
      <w:pPr>
        <w:spacing w:before="2"/>
        <w:ind w:left="286" w:right="0" w:firstLine="0"/>
        <w:jc w:val="left"/>
        <w:rPr>
          <w:rFonts w:ascii="Bookman Old Style"/>
          <w:b w:val="0"/>
          <w:sz w:val="16"/>
        </w:rPr>
      </w:pPr>
      <w:r>
        <w:rPr>
          <w:rFonts w:ascii="Bookman Old Style"/>
          <w:b w:val="0"/>
          <w:sz w:val="16"/>
          <w:vertAlign w:val="superscript"/>
        </w:rPr>
        <w:t>60</w:t>
      </w:r>
      <w:r>
        <w:rPr>
          <w:rFonts w:ascii="Bookman Old Style"/>
          <w:b w:val="0"/>
          <w:sz w:val="16"/>
          <w:vertAlign w:val="baseline"/>
        </w:rPr>
        <w:t>Obi (2010),</w:t>
      </w:r>
      <w:r>
        <w:rPr>
          <w:rFonts w:ascii="Bookman Old Style"/>
          <w:b w:val="0"/>
          <w:spacing w:val="1"/>
          <w:sz w:val="16"/>
          <w:vertAlign w:val="baseline"/>
        </w:rPr>
        <w:t> </w:t>
      </w:r>
      <w:r>
        <w:rPr>
          <w:rFonts w:ascii="Bookman Old Style"/>
          <w:b w:val="0"/>
          <w:sz w:val="16"/>
          <w:vertAlign w:val="baseline"/>
        </w:rPr>
        <w:t>pp.</w:t>
      </w:r>
      <w:r>
        <w:rPr>
          <w:rFonts w:ascii="Bookman Old Style"/>
          <w:b w:val="0"/>
          <w:spacing w:val="18"/>
          <w:sz w:val="16"/>
          <w:vertAlign w:val="baseline"/>
        </w:rPr>
        <w:t> </w:t>
      </w:r>
      <w:r>
        <w:rPr>
          <w:rFonts w:ascii="Bookman Old Style"/>
          <w:b w:val="0"/>
          <w:spacing w:val="-5"/>
          <w:sz w:val="16"/>
          <w:vertAlign w:val="baseline"/>
        </w:rPr>
        <w:t>221</w:t>
      </w:r>
    </w:p>
    <w:p>
      <w:pPr>
        <w:spacing w:before="2"/>
        <w:ind w:left="286" w:right="0" w:firstLine="0"/>
        <w:jc w:val="left"/>
        <w:rPr>
          <w:rFonts w:ascii="Bookman Old Style"/>
          <w:b w:val="0"/>
          <w:sz w:val="16"/>
        </w:rPr>
      </w:pPr>
      <w:r>
        <w:rPr>
          <w:rFonts w:ascii="Bookman Old Style"/>
          <w:b w:val="0"/>
          <w:sz w:val="16"/>
          <w:vertAlign w:val="superscript"/>
        </w:rPr>
        <w:t>61</w:t>
      </w:r>
      <w:r>
        <w:rPr>
          <w:rFonts w:ascii="Bookman Old Style"/>
          <w:b w:val="0"/>
          <w:sz w:val="16"/>
          <w:vertAlign w:val="baseline"/>
        </w:rPr>
        <w:t>Aghedo</w:t>
      </w:r>
      <w:r>
        <w:rPr>
          <w:rFonts w:ascii="Bookman Old Style"/>
          <w:b w:val="0"/>
          <w:spacing w:val="17"/>
          <w:sz w:val="16"/>
          <w:vertAlign w:val="baseline"/>
        </w:rPr>
        <w:t> </w:t>
      </w:r>
      <w:r>
        <w:rPr>
          <w:rFonts w:ascii="Bookman Old Style"/>
          <w:b w:val="0"/>
          <w:spacing w:val="-2"/>
          <w:sz w:val="16"/>
          <w:vertAlign w:val="baseline"/>
        </w:rPr>
        <w:t>(2012).</w:t>
      </w:r>
    </w:p>
    <w:p>
      <w:pPr>
        <w:spacing w:after="0"/>
        <w:jc w:val="left"/>
        <w:rPr>
          <w:rFonts w:ascii="Bookman Old Style"/>
          <w:sz w:val="16"/>
        </w:rPr>
        <w:sectPr>
          <w:pgSz w:w="12240" w:h="15840"/>
          <w:pgMar w:header="0" w:footer="1252" w:top="1100" w:bottom="1440" w:left="1280" w:right="40"/>
        </w:sectPr>
      </w:pPr>
    </w:p>
    <w:p>
      <w:pPr>
        <w:pStyle w:val="BodyText"/>
        <w:spacing w:line="304" w:lineRule="auto" w:before="49"/>
        <w:ind w:left="137" w:right="1793"/>
        <w:jc w:val="both"/>
      </w:pPr>
      <w:r>
        <w:rPr/>
        <w:t>group of militants operating under the platform established by groups such as the Movement of the Emancipation</w:t>
      </w:r>
      <w:r>
        <w:rPr>
          <w:spacing w:val="-3"/>
        </w:rPr>
        <w:t> </w:t>
      </w:r>
      <w:r>
        <w:rPr/>
        <w:t>of</w:t>
      </w:r>
      <w:r>
        <w:rPr>
          <w:spacing w:val="-3"/>
        </w:rPr>
        <w:t> </w:t>
      </w:r>
      <w:r>
        <w:rPr/>
        <w:t>Niger</w:t>
      </w:r>
      <w:r>
        <w:rPr>
          <w:spacing w:val="-3"/>
        </w:rPr>
        <w:t> </w:t>
      </w:r>
      <w:r>
        <w:rPr/>
        <w:t>Delta</w:t>
      </w:r>
      <w:r>
        <w:rPr>
          <w:spacing w:val="-3"/>
        </w:rPr>
        <w:t> </w:t>
      </w:r>
      <w:r>
        <w:rPr/>
        <w:t>People</w:t>
      </w:r>
      <w:r>
        <w:rPr>
          <w:spacing w:val="-3"/>
        </w:rPr>
        <w:t> </w:t>
      </w:r>
      <w:r>
        <w:rPr/>
        <w:t>(MEND),</w:t>
      </w:r>
      <w:r>
        <w:rPr>
          <w:spacing w:val="-3"/>
        </w:rPr>
        <w:t> </w:t>
      </w:r>
      <w:r>
        <w:rPr/>
        <w:t>the</w:t>
      </w:r>
      <w:r>
        <w:rPr>
          <w:spacing w:val="-3"/>
        </w:rPr>
        <w:t> </w:t>
      </w:r>
      <w:r>
        <w:rPr/>
        <w:t>Movement</w:t>
      </w:r>
      <w:r>
        <w:rPr>
          <w:spacing w:val="-3"/>
        </w:rPr>
        <w:t> </w:t>
      </w:r>
      <w:r>
        <w:rPr/>
        <w:t>for</w:t>
      </w:r>
      <w:r>
        <w:rPr>
          <w:spacing w:val="-3"/>
        </w:rPr>
        <w:t> </w:t>
      </w:r>
      <w:r>
        <w:rPr/>
        <w:t>the</w:t>
      </w:r>
      <w:r>
        <w:rPr>
          <w:spacing w:val="-3"/>
        </w:rPr>
        <w:t> </w:t>
      </w:r>
      <w:r>
        <w:rPr/>
        <w:t>Survival</w:t>
      </w:r>
      <w:r>
        <w:rPr>
          <w:spacing w:val="-3"/>
        </w:rPr>
        <w:t> </w:t>
      </w:r>
      <w:r>
        <w:rPr/>
        <w:t>of</w:t>
      </w:r>
      <w:r>
        <w:rPr>
          <w:spacing w:val="-3"/>
        </w:rPr>
        <w:t> </w:t>
      </w:r>
      <w:r>
        <w:rPr/>
        <w:t>the</w:t>
      </w:r>
      <w:r>
        <w:rPr>
          <w:spacing w:val="-3"/>
        </w:rPr>
        <w:t> </w:t>
      </w:r>
      <w:r>
        <w:rPr/>
        <w:t>Ogoni</w:t>
      </w:r>
      <w:r>
        <w:rPr>
          <w:spacing w:val="-3"/>
        </w:rPr>
        <w:t> </w:t>
      </w:r>
      <w:r>
        <w:rPr/>
        <w:t>People,</w:t>
      </w:r>
      <w:r>
        <w:rPr>
          <w:spacing w:val="-2"/>
        </w:rPr>
        <w:t> </w:t>
      </w:r>
      <w:r>
        <w:rPr/>
        <w:t>and </w:t>
      </w:r>
      <w:r>
        <w:rPr>
          <w:spacing w:val="-2"/>
        </w:rPr>
        <w:t>others</w:t>
      </w:r>
      <w:r>
        <w:rPr>
          <w:spacing w:val="-6"/>
        </w:rPr>
        <w:t> </w:t>
      </w:r>
      <w:r>
        <w:rPr>
          <w:spacing w:val="-2"/>
        </w:rPr>
        <w:t>instigated</w:t>
      </w:r>
      <w:r>
        <w:rPr>
          <w:spacing w:val="-5"/>
        </w:rPr>
        <w:t> </w:t>
      </w:r>
      <w:r>
        <w:rPr>
          <w:spacing w:val="-2"/>
        </w:rPr>
        <w:t>attacks</w:t>
      </w:r>
      <w:r>
        <w:rPr>
          <w:spacing w:val="-5"/>
        </w:rPr>
        <w:t> </w:t>
      </w:r>
      <w:r>
        <w:rPr>
          <w:spacing w:val="-2"/>
        </w:rPr>
        <w:t>against</w:t>
      </w:r>
      <w:r>
        <w:rPr>
          <w:spacing w:val="-6"/>
        </w:rPr>
        <w:t> </w:t>
      </w:r>
      <w:r>
        <w:rPr>
          <w:spacing w:val="-2"/>
        </w:rPr>
        <w:t>the</w:t>
      </w:r>
      <w:r>
        <w:rPr>
          <w:spacing w:val="-5"/>
        </w:rPr>
        <w:t> </w:t>
      </w:r>
      <w:r>
        <w:rPr>
          <w:spacing w:val="-2"/>
        </w:rPr>
        <w:t>country’s</w:t>
      </w:r>
      <w:r>
        <w:rPr>
          <w:spacing w:val="-5"/>
        </w:rPr>
        <w:t> </w:t>
      </w:r>
      <w:r>
        <w:rPr>
          <w:spacing w:val="-2"/>
        </w:rPr>
        <w:t>oil</w:t>
      </w:r>
      <w:r>
        <w:rPr>
          <w:spacing w:val="-6"/>
        </w:rPr>
        <w:t> </w:t>
      </w:r>
      <w:r>
        <w:rPr>
          <w:spacing w:val="-2"/>
        </w:rPr>
        <w:t>and</w:t>
      </w:r>
      <w:r>
        <w:rPr>
          <w:spacing w:val="-6"/>
        </w:rPr>
        <w:t> </w:t>
      </w:r>
      <w:r>
        <w:rPr>
          <w:spacing w:val="-2"/>
        </w:rPr>
        <w:t>gas</w:t>
      </w:r>
      <w:r>
        <w:rPr>
          <w:spacing w:val="-6"/>
        </w:rPr>
        <w:t> </w:t>
      </w:r>
      <w:r>
        <w:rPr>
          <w:spacing w:val="-2"/>
        </w:rPr>
        <w:t>infrastructure</w:t>
      </w:r>
      <w:r>
        <w:rPr>
          <w:spacing w:val="-5"/>
        </w:rPr>
        <w:t> </w:t>
      </w:r>
      <w:r>
        <w:rPr>
          <w:spacing w:val="-2"/>
        </w:rPr>
        <w:t>in</w:t>
      </w:r>
      <w:r>
        <w:rPr>
          <w:spacing w:val="-5"/>
        </w:rPr>
        <w:t> </w:t>
      </w:r>
      <w:r>
        <w:rPr>
          <w:spacing w:val="-2"/>
        </w:rPr>
        <w:t>the</w:t>
      </w:r>
      <w:r>
        <w:rPr>
          <w:spacing w:val="-5"/>
        </w:rPr>
        <w:t> </w:t>
      </w:r>
      <w:r>
        <w:rPr>
          <w:spacing w:val="-2"/>
        </w:rPr>
        <w:t>region</w:t>
      </w:r>
      <w:r>
        <w:rPr>
          <w:spacing w:val="-6"/>
        </w:rPr>
        <w:t> </w:t>
      </w:r>
      <w:r>
        <w:rPr>
          <w:spacing w:val="-2"/>
        </w:rPr>
        <w:t>from</w:t>
      </w:r>
      <w:r>
        <w:rPr>
          <w:spacing w:val="-5"/>
        </w:rPr>
        <w:t> </w:t>
      </w:r>
      <w:r>
        <w:rPr>
          <w:spacing w:val="-2"/>
        </w:rPr>
        <w:t>2006-2009.</w:t>
      </w:r>
      <w:r>
        <w:rPr>
          <w:rFonts w:ascii="Century Gothic" w:hAnsi="Century Gothic"/>
          <w:spacing w:val="-2"/>
          <w:vertAlign w:val="superscript"/>
        </w:rPr>
        <w:t>62</w:t>
      </w:r>
      <w:r>
        <w:rPr>
          <w:rFonts w:ascii="Century Gothic" w:hAnsi="Century Gothic"/>
          <w:spacing w:val="-2"/>
          <w:vertAlign w:val="baseline"/>
        </w:rPr>
        <w:t> </w:t>
      </w:r>
      <w:r>
        <w:rPr>
          <w:vertAlign w:val="baseline"/>
        </w:rPr>
        <w:t>These groups have formed a loose coalition of ethnic militants seeking to engage in “local resistance”. MEND, formed in 2005-2006, has been known to abduct oil workers and attack oil pipelines.</w:t>
      </w:r>
      <w:r>
        <w:rPr>
          <w:rFonts w:ascii="Century Gothic" w:hAnsi="Century Gothic"/>
          <w:vertAlign w:val="superscript"/>
        </w:rPr>
        <w:t>63</w:t>
      </w:r>
      <w:r>
        <w:rPr>
          <w:rFonts w:ascii="Century Gothic" w:hAnsi="Century Gothic"/>
          <w:spacing w:val="40"/>
          <w:vertAlign w:val="baseline"/>
        </w:rPr>
        <w:t> </w:t>
      </w:r>
      <w:r>
        <w:rPr>
          <w:vertAlign w:val="baseline"/>
        </w:rPr>
        <w:t>The attacks</w:t>
      </w:r>
      <w:r>
        <w:rPr>
          <w:spacing w:val="-4"/>
          <w:vertAlign w:val="baseline"/>
        </w:rPr>
        <w:t> </w:t>
      </w:r>
      <w:r>
        <w:rPr>
          <w:vertAlign w:val="baseline"/>
        </w:rPr>
        <w:t>represented</w:t>
      </w:r>
      <w:r>
        <w:rPr>
          <w:spacing w:val="-4"/>
          <w:vertAlign w:val="baseline"/>
        </w:rPr>
        <w:t> </w:t>
      </w:r>
      <w:r>
        <w:rPr>
          <w:vertAlign w:val="baseline"/>
        </w:rPr>
        <w:t>a</w:t>
      </w:r>
      <w:r>
        <w:rPr>
          <w:spacing w:val="-4"/>
          <w:vertAlign w:val="baseline"/>
        </w:rPr>
        <w:t> </w:t>
      </w:r>
      <w:r>
        <w:rPr>
          <w:vertAlign w:val="baseline"/>
        </w:rPr>
        <w:t>serious</w:t>
      </w:r>
      <w:r>
        <w:rPr>
          <w:spacing w:val="-4"/>
          <w:vertAlign w:val="baseline"/>
        </w:rPr>
        <w:t> </w:t>
      </w:r>
      <w:r>
        <w:rPr>
          <w:vertAlign w:val="baseline"/>
        </w:rPr>
        <w:t>threat</w:t>
      </w:r>
      <w:r>
        <w:rPr>
          <w:spacing w:val="-4"/>
          <w:vertAlign w:val="baseline"/>
        </w:rPr>
        <w:t> </w:t>
      </w:r>
      <w:r>
        <w:rPr>
          <w:vertAlign w:val="baseline"/>
        </w:rPr>
        <w:t>to</w:t>
      </w:r>
      <w:r>
        <w:rPr>
          <w:spacing w:val="-4"/>
          <w:vertAlign w:val="baseline"/>
        </w:rPr>
        <w:t> </w:t>
      </w:r>
      <w:r>
        <w:rPr>
          <w:vertAlign w:val="baseline"/>
        </w:rPr>
        <w:t>the</w:t>
      </w:r>
      <w:r>
        <w:rPr>
          <w:spacing w:val="-4"/>
          <w:vertAlign w:val="baseline"/>
        </w:rPr>
        <w:t> </w:t>
      </w:r>
      <w:r>
        <w:rPr>
          <w:vertAlign w:val="baseline"/>
        </w:rPr>
        <w:t>production</w:t>
      </w:r>
      <w:r>
        <w:rPr>
          <w:spacing w:val="-4"/>
          <w:vertAlign w:val="baseline"/>
        </w:rPr>
        <w:t> </w:t>
      </w:r>
      <w:r>
        <w:rPr>
          <w:vertAlign w:val="baseline"/>
        </w:rPr>
        <w:t>of</w:t>
      </w:r>
      <w:r>
        <w:rPr>
          <w:spacing w:val="-4"/>
          <w:vertAlign w:val="baseline"/>
        </w:rPr>
        <w:t> </w:t>
      </w:r>
      <w:r>
        <w:rPr>
          <w:vertAlign w:val="baseline"/>
        </w:rPr>
        <w:t>oil</w:t>
      </w:r>
      <w:r>
        <w:rPr>
          <w:spacing w:val="-4"/>
          <w:vertAlign w:val="baseline"/>
        </w:rPr>
        <w:t> </w:t>
      </w:r>
      <w:r>
        <w:rPr>
          <w:vertAlign w:val="baseline"/>
        </w:rPr>
        <w:t>during</w:t>
      </w:r>
      <w:r>
        <w:rPr>
          <w:spacing w:val="-4"/>
          <w:vertAlign w:val="baseline"/>
        </w:rPr>
        <w:t> </w:t>
      </w:r>
      <w:r>
        <w:rPr>
          <w:vertAlign w:val="baseline"/>
        </w:rPr>
        <w:t>this</w:t>
      </w:r>
      <w:r>
        <w:rPr>
          <w:spacing w:val="-4"/>
          <w:vertAlign w:val="baseline"/>
        </w:rPr>
        <w:t> </w:t>
      </w:r>
      <w:r>
        <w:rPr>
          <w:vertAlign w:val="baseline"/>
        </w:rPr>
        <w:t>period.</w:t>
      </w:r>
      <w:r>
        <w:rPr>
          <w:rFonts w:ascii="Century Gothic" w:hAnsi="Century Gothic"/>
          <w:vertAlign w:val="superscript"/>
        </w:rPr>
        <w:t>64</w:t>
      </w:r>
      <w:r>
        <w:rPr>
          <w:rFonts w:ascii="Century Gothic" w:hAnsi="Century Gothic"/>
          <w:vertAlign w:val="baseline"/>
        </w:rPr>
        <w:t> </w:t>
      </w:r>
      <w:r>
        <w:rPr>
          <w:vertAlign w:val="baseline"/>
        </w:rPr>
        <w:t>Conflict</w:t>
      </w:r>
      <w:r>
        <w:rPr>
          <w:spacing w:val="-4"/>
          <w:vertAlign w:val="baseline"/>
        </w:rPr>
        <w:t> </w:t>
      </w:r>
      <w:r>
        <w:rPr>
          <w:vertAlign w:val="baseline"/>
        </w:rPr>
        <w:t>was</w:t>
      </w:r>
      <w:r>
        <w:rPr>
          <w:spacing w:val="-4"/>
          <w:vertAlign w:val="baseline"/>
        </w:rPr>
        <w:t> </w:t>
      </w:r>
      <w:r>
        <w:rPr>
          <w:vertAlign w:val="baseline"/>
        </w:rPr>
        <w:t>rampant in Nigeria during this time.</w:t>
      </w:r>
    </w:p>
    <w:p>
      <w:pPr>
        <w:pStyle w:val="BodyText"/>
        <w:spacing w:line="309" w:lineRule="auto" w:before="128"/>
        <w:ind w:left="137" w:right="1793" w:firstLine="298"/>
        <w:jc w:val="both"/>
        <w:rPr>
          <w:rFonts w:ascii="Century Gothic" w:hAnsi="Century Gothic"/>
        </w:rPr>
      </w:pPr>
      <w:r>
        <w:rPr>
          <w:spacing w:val="-2"/>
        </w:rPr>
        <w:t>In</w:t>
      </w:r>
      <w:r>
        <w:rPr>
          <w:spacing w:val="-5"/>
        </w:rPr>
        <w:t> </w:t>
      </w:r>
      <w:r>
        <w:rPr>
          <w:spacing w:val="-2"/>
        </w:rPr>
        <w:t>response</w:t>
      </w:r>
      <w:r>
        <w:rPr>
          <w:spacing w:val="-5"/>
        </w:rPr>
        <w:t> </w:t>
      </w:r>
      <w:r>
        <w:rPr>
          <w:spacing w:val="-2"/>
        </w:rPr>
        <w:t>to</w:t>
      </w:r>
      <w:r>
        <w:rPr>
          <w:spacing w:val="-5"/>
        </w:rPr>
        <w:t> </w:t>
      </w:r>
      <w:r>
        <w:rPr>
          <w:spacing w:val="-2"/>
        </w:rPr>
        <w:t>this</w:t>
      </w:r>
      <w:r>
        <w:rPr>
          <w:spacing w:val="-5"/>
        </w:rPr>
        <w:t> </w:t>
      </w:r>
      <w:r>
        <w:rPr>
          <w:spacing w:val="-2"/>
        </w:rPr>
        <w:t>unrest,</w:t>
      </w:r>
      <w:r>
        <w:rPr>
          <w:spacing w:val="-3"/>
        </w:rPr>
        <w:t> </w:t>
      </w:r>
      <w:r>
        <w:rPr>
          <w:spacing w:val="-2"/>
        </w:rPr>
        <w:t>the</w:t>
      </w:r>
      <w:r>
        <w:rPr>
          <w:spacing w:val="-5"/>
        </w:rPr>
        <w:t> </w:t>
      </w:r>
      <w:r>
        <w:rPr>
          <w:spacing w:val="-2"/>
        </w:rPr>
        <w:t>government</w:t>
      </w:r>
      <w:r>
        <w:rPr>
          <w:spacing w:val="-5"/>
        </w:rPr>
        <w:t> </w:t>
      </w:r>
      <w:r>
        <w:rPr>
          <w:spacing w:val="-2"/>
        </w:rPr>
        <w:t>continued</w:t>
      </w:r>
      <w:r>
        <w:rPr>
          <w:spacing w:val="-5"/>
        </w:rPr>
        <w:t> </w:t>
      </w:r>
      <w:r>
        <w:rPr>
          <w:spacing w:val="-2"/>
        </w:rPr>
        <w:t>to</w:t>
      </w:r>
      <w:r>
        <w:rPr>
          <w:spacing w:val="-5"/>
        </w:rPr>
        <w:t> </w:t>
      </w:r>
      <w:r>
        <w:rPr>
          <w:spacing w:val="-2"/>
        </w:rPr>
        <w:t>increase</w:t>
      </w:r>
      <w:r>
        <w:rPr>
          <w:spacing w:val="-5"/>
        </w:rPr>
        <w:t> </w:t>
      </w:r>
      <w:r>
        <w:rPr>
          <w:spacing w:val="-2"/>
        </w:rPr>
        <w:t>its</w:t>
      </w:r>
      <w:r>
        <w:rPr>
          <w:spacing w:val="-5"/>
        </w:rPr>
        <w:t> </w:t>
      </w:r>
      <w:r>
        <w:rPr>
          <w:spacing w:val="-2"/>
        </w:rPr>
        <w:t>military</w:t>
      </w:r>
      <w:r>
        <w:rPr>
          <w:spacing w:val="-5"/>
        </w:rPr>
        <w:t> </w:t>
      </w:r>
      <w:r>
        <w:rPr>
          <w:spacing w:val="-2"/>
        </w:rPr>
        <w:t>presence</w:t>
      </w:r>
      <w:r>
        <w:rPr>
          <w:spacing w:val="-5"/>
        </w:rPr>
        <w:t> </w:t>
      </w:r>
      <w:r>
        <w:rPr>
          <w:spacing w:val="-2"/>
        </w:rPr>
        <w:t>in</w:t>
      </w:r>
      <w:r>
        <w:rPr>
          <w:spacing w:val="-5"/>
        </w:rPr>
        <w:t> </w:t>
      </w:r>
      <w:r>
        <w:rPr>
          <w:spacing w:val="-2"/>
        </w:rPr>
        <w:t>the</w:t>
      </w:r>
      <w:r>
        <w:rPr>
          <w:spacing w:val="-5"/>
        </w:rPr>
        <w:t> </w:t>
      </w:r>
      <w:r>
        <w:rPr>
          <w:spacing w:val="-2"/>
        </w:rPr>
        <w:t>region.</w:t>
      </w:r>
      <w:r>
        <w:rPr>
          <w:rFonts w:ascii="Century Gothic" w:hAnsi="Century Gothic"/>
          <w:spacing w:val="-2"/>
          <w:vertAlign w:val="superscript"/>
        </w:rPr>
        <w:t>65</w:t>
      </w:r>
      <w:r>
        <w:rPr>
          <w:rFonts w:ascii="Century Gothic" w:hAnsi="Century Gothic"/>
          <w:spacing w:val="-2"/>
          <w:vertAlign w:val="baseline"/>
        </w:rPr>
        <w:t> </w:t>
      </w:r>
      <w:r>
        <w:rPr>
          <w:vertAlign w:val="baseline"/>
        </w:rPr>
        <w:t>According</w:t>
      </w:r>
      <w:r>
        <w:rPr>
          <w:spacing w:val="-5"/>
          <w:vertAlign w:val="baseline"/>
        </w:rPr>
        <w:t> </w:t>
      </w:r>
      <w:r>
        <w:rPr>
          <w:vertAlign w:val="baseline"/>
        </w:rPr>
        <w:t>to</w:t>
      </w:r>
      <w:r>
        <w:rPr>
          <w:spacing w:val="-5"/>
          <w:vertAlign w:val="baseline"/>
        </w:rPr>
        <w:t> </w:t>
      </w:r>
      <w:r>
        <w:rPr>
          <w:vertAlign w:val="baseline"/>
        </w:rPr>
        <w:t>one</w:t>
      </w:r>
      <w:r>
        <w:rPr>
          <w:spacing w:val="-5"/>
          <w:vertAlign w:val="baseline"/>
        </w:rPr>
        <w:t> </w:t>
      </w:r>
      <w:r>
        <w:rPr>
          <w:vertAlign w:val="baseline"/>
        </w:rPr>
        <w:t>account</w:t>
      </w:r>
      <w:r>
        <w:rPr>
          <w:spacing w:val="-5"/>
          <w:vertAlign w:val="baseline"/>
        </w:rPr>
        <w:t> </w:t>
      </w:r>
      <w:r>
        <w:rPr>
          <w:vertAlign w:val="baseline"/>
        </w:rPr>
        <w:t>“...Since</w:t>
      </w:r>
      <w:r>
        <w:rPr>
          <w:spacing w:val="-5"/>
          <w:vertAlign w:val="baseline"/>
        </w:rPr>
        <w:t> </w:t>
      </w:r>
      <w:r>
        <w:rPr>
          <w:vertAlign w:val="baseline"/>
        </w:rPr>
        <w:t>2003</w:t>
      </w:r>
      <w:r>
        <w:rPr>
          <w:spacing w:val="-5"/>
          <w:vertAlign w:val="baseline"/>
        </w:rPr>
        <w:t> </w:t>
      </w:r>
      <w:r>
        <w:rPr>
          <w:vertAlign w:val="baseline"/>
        </w:rPr>
        <w:t>about</w:t>
      </w:r>
      <w:r>
        <w:rPr>
          <w:spacing w:val="-5"/>
          <w:vertAlign w:val="baseline"/>
        </w:rPr>
        <w:t> </w:t>
      </w:r>
      <w:r>
        <w:rPr>
          <w:vertAlign w:val="baseline"/>
        </w:rPr>
        <w:t>15,000</w:t>
      </w:r>
      <w:r>
        <w:rPr>
          <w:spacing w:val="-5"/>
          <w:vertAlign w:val="baseline"/>
        </w:rPr>
        <w:t> </w:t>
      </w:r>
      <w:r>
        <w:rPr>
          <w:vertAlign w:val="baseline"/>
        </w:rPr>
        <w:t>troops</w:t>
      </w:r>
      <w:r>
        <w:rPr>
          <w:spacing w:val="-5"/>
          <w:vertAlign w:val="baseline"/>
        </w:rPr>
        <w:t> </w:t>
      </w:r>
      <w:r>
        <w:rPr>
          <w:vertAlign w:val="baseline"/>
        </w:rPr>
        <w:t>serve</w:t>
      </w:r>
      <w:r>
        <w:rPr>
          <w:spacing w:val="-5"/>
          <w:vertAlign w:val="baseline"/>
        </w:rPr>
        <w:t> </w:t>
      </w:r>
      <w:r>
        <w:rPr>
          <w:vertAlign w:val="baseline"/>
        </w:rPr>
        <w:t>in</w:t>
      </w:r>
      <w:r>
        <w:rPr>
          <w:spacing w:val="-5"/>
          <w:vertAlign w:val="baseline"/>
        </w:rPr>
        <w:t> </w:t>
      </w:r>
      <w:r>
        <w:rPr>
          <w:vertAlign w:val="baseline"/>
        </w:rPr>
        <w:t>the</w:t>
      </w:r>
      <w:r>
        <w:rPr>
          <w:spacing w:val="-5"/>
          <w:vertAlign w:val="baseline"/>
        </w:rPr>
        <w:t> </w:t>
      </w:r>
      <w:r>
        <w:rPr>
          <w:vertAlign w:val="baseline"/>
        </w:rPr>
        <w:t>Niger</w:t>
      </w:r>
      <w:r>
        <w:rPr>
          <w:spacing w:val="-5"/>
          <w:vertAlign w:val="baseline"/>
        </w:rPr>
        <w:t> </w:t>
      </w:r>
      <w:r>
        <w:rPr>
          <w:vertAlign w:val="baseline"/>
        </w:rPr>
        <w:t>Delta</w:t>
      </w:r>
      <w:r>
        <w:rPr>
          <w:spacing w:val="-5"/>
          <w:vertAlign w:val="baseline"/>
        </w:rPr>
        <w:t> </w:t>
      </w:r>
      <w:r>
        <w:rPr>
          <w:vertAlign w:val="baseline"/>
        </w:rPr>
        <w:t>at</w:t>
      </w:r>
      <w:r>
        <w:rPr>
          <w:spacing w:val="-5"/>
          <w:vertAlign w:val="baseline"/>
        </w:rPr>
        <w:t> </w:t>
      </w:r>
      <w:r>
        <w:rPr>
          <w:vertAlign w:val="baseline"/>
        </w:rPr>
        <w:t>any</w:t>
      </w:r>
      <w:r>
        <w:rPr>
          <w:spacing w:val="-5"/>
          <w:vertAlign w:val="baseline"/>
        </w:rPr>
        <w:t> </w:t>
      </w:r>
      <w:r>
        <w:rPr>
          <w:vertAlign w:val="baseline"/>
        </w:rPr>
        <w:t>given</w:t>
      </w:r>
      <w:r>
        <w:rPr>
          <w:spacing w:val="-5"/>
          <w:vertAlign w:val="baseline"/>
        </w:rPr>
        <w:t> </w:t>
      </w:r>
      <w:r>
        <w:rPr>
          <w:vertAlign w:val="baseline"/>
        </w:rPr>
        <w:t>time as part of the Joint Task Force (JTF), “Operation Restore Hope,” comprised of the Army, Navy, and Air Force,” </w:t>
      </w:r>
      <w:r>
        <w:rPr>
          <w:rFonts w:ascii="Century Gothic" w:hAnsi="Century Gothic"/>
          <w:vertAlign w:val="superscript"/>
        </w:rPr>
        <w:t>66</w:t>
      </w:r>
      <w:r>
        <w:rPr>
          <w:vertAlign w:val="baseline"/>
        </w:rPr>
        <w:t>.</w:t>
      </w:r>
      <w:r>
        <w:rPr>
          <w:spacing w:val="40"/>
          <w:vertAlign w:val="baseline"/>
        </w:rPr>
        <w:t> </w:t>
      </w:r>
      <w:r>
        <w:rPr>
          <w:vertAlign w:val="baseline"/>
        </w:rPr>
        <w:t>The government viewed violence in the region as a law and order crisis and national security concern.</w:t>
      </w:r>
      <w:r>
        <w:rPr>
          <w:rFonts w:ascii="Century Gothic" w:hAnsi="Century Gothic"/>
          <w:vertAlign w:val="superscript"/>
        </w:rPr>
        <w:t>67</w:t>
      </w:r>
      <w:r>
        <w:rPr>
          <w:rFonts w:ascii="Century Gothic" w:hAnsi="Century Gothic"/>
          <w:spacing w:val="40"/>
          <w:vertAlign w:val="baseline"/>
        </w:rPr>
        <w:t> </w:t>
      </w:r>
      <w:r>
        <w:rPr>
          <w:vertAlign w:val="baseline"/>
        </w:rPr>
        <w:t>An extensive operation by the JTF was funded to fight against MEND and other groups,</w:t>
      </w:r>
      <w:r>
        <w:rPr>
          <w:spacing w:val="-13"/>
          <w:vertAlign w:val="baseline"/>
        </w:rPr>
        <w:t> </w:t>
      </w:r>
      <w:r>
        <w:rPr>
          <w:vertAlign w:val="baseline"/>
        </w:rPr>
        <w:t>this</w:t>
      </w:r>
      <w:r>
        <w:rPr>
          <w:spacing w:val="-12"/>
          <w:vertAlign w:val="baseline"/>
        </w:rPr>
        <w:t> </w:t>
      </w:r>
      <w:r>
        <w:rPr>
          <w:vertAlign w:val="baseline"/>
        </w:rPr>
        <w:t>operation</w:t>
      </w:r>
      <w:r>
        <w:rPr>
          <w:spacing w:val="-12"/>
          <w:vertAlign w:val="baseline"/>
        </w:rPr>
        <w:t> </w:t>
      </w:r>
      <w:r>
        <w:rPr>
          <w:vertAlign w:val="baseline"/>
        </w:rPr>
        <w:t>included</w:t>
      </w:r>
      <w:r>
        <w:rPr>
          <w:spacing w:val="-12"/>
          <w:vertAlign w:val="baseline"/>
        </w:rPr>
        <w:t> </w:t>
      </w:r>
      <w:r>
        <w:rPr>
          <w:vertAlign w:val="baseline"/>
        </w:rPr>
        <w:t>helicopter</w:t>
      </w:r>
      <w:r>
        <w:rPr>
          <w:spacing w:val="-12"/>
          <w:vertAlign w:val="baseline"/>
        </w:rPr>
        <w:t> </w:t>
      </w:r>
      <w:r>
        <w:rPr>
          <w:vertAlign w:val="baseline"/>
        </w:rPr>
        <w:t>gun</w:t>
      </w:r>
      <w:r>
        <w:rPr>
          <w:spacing w:val="-12"/>
          <w:vertAlign w:val="baseline"/>
        </w:rPr>
        <w:t> </w:t>
      </w:r>
      <w:r>
        <w:rPr>
          <w:vertAlign w:val="baseline"/>
        </w:rPr>
        <w:t>ships,</w:t>
      </w:r>
      <w:r>
        <w:rPr>
          <w:spacing w:val="-12"/>
          <w:vertAlign w:val="baseline"/>
        </w:rPr>
        <w:t> </w:t>
      </w:r>
      <w:r>
        <w:rPr>
          <w:vertAlign w:val="baseline"/>
        </w:rPr>
        <w:t>gun</w:t>
      </w:r>
      <w:r>
        <w:rPr>
          <w:spacing w:val="-12"/>
          <w:vertAlign w:val="baseline"/>
        </w:rPr>
        <w:t> </w:t>
      </w:r>
      <w:r>
        <w:rPr>
          <w:vertAlign w:val="baseline"/>
        </w:rPr>
        <w:t>boats,</w:t>
      </w:r>
      <w:r>
        <w:rPr>
          <w:spacing w:val="-12"/>
          <w:vertAlign w:val="baseline"/>
        </w:rPr>
        <w:t> </w:t>
      </w:r>
      <w:r>
        <w:rPr>
          <w:vertAlign w:val="baseline"/>
        </w:rPr>
        <w:t>and</w:t>
      </w:r>
      <w:r>
        <w:rPr>
          <w:spacing w:val="-12"/>
          <w:vertAlign w:val="baseline"/>
        </w:rPr>
        <w:t> </w:t>
      </w:r>
      <w:r>
        <w:rPr>
          <w:vertAlign w:val="baseline"/>
        </w:rPr>
        <w:t>between</w:t>
      </w:r>
      <w:r>
        <w:rPr>
          <w:spacing w:val="-12"/>
          <w:vertAlign w:val="baseline"/>
        </w:rPr>
        <w:t> </w:t>
      </w:r>
      <w:r>
        <w:rPr>
          <w:vertAlign w:val="baseline"/>
        </w:rPr>
        <w:t>3-7,000</w:t>
      </w:r>
      <w:r>
        <w:rPr>
          <w:spacing w:val="-12"/>
          <w:vertAlign w:val="baseline"/>
        </w:rPr>
        <w:t> </w:t>
      </w:r>
      <w:r>
        <w:rPr>
          <w:vertAlign w:val="baseline"/>
        </w:rPr>
        <w:t>ground</w:t>
      </w:r>
      <w:r>
        <w:rPr>
          <w:spacing w:val="-12"/>
          <w:vertAlign w:val="baseline"/>
        </w:rPr>
        <w:t> </w:t>
      </w:r>
      <w:r>
        <w:rPr>
          <w:vertAlign w:val="baseline"/>
        </w:rPr>
        <w:t>troops</w:t>
      </w:r>
      <w:r>
        <w:rPr>
          <w:spacing w:val="-12"/>
          <w:vertAlign w:val="baseline"/>
        </w:rPr>
        <w:t> </w:t>
      </w:r>
      <w:r>
        <w:rPr>
          <w:vertAlign w:val="baseline"/>
        </w:rPr>
        <w:t>for water, land and air operations in 2009.</w:t>
      </w:r>
      <w:r>
        <w:rPr>
          <w:spacing w:val="40"/>
          <w:vertAlign w:val="baseline"/>
        </w:rPr>
        <w:t> </w:t>
      </w:r>
      <w:r>
        <w:rPr>
          <w:vertAlign w:val="baseline"/>
        </w:rPr>
        <w:t>Debate can be had around the conduct of these operations, but it is clear that these operations were funded at least in part by the influx of oil revenue during the same period.</w:t>
      </w:r>
      <w:r>
        <w:rPr>
          <w:spacing w:val="40"/>
          <w:vertAlign w:val="baseline"/>
        </w:rPr>
        <w:t> </w:t>
      </w:r>
      <w:r>
        <w:rPr>
          <w:vertAlign w:val="baseline"/>
        </w:rPr>
        <w:t>Crude oil prices hit an all-time high in July 2008, and the Nigerian military launched the</w:t>
      </w:r>
      <w:r>
        <w:rPr>
          <w:spacing w:val="-7"/>
          <w:vertAlign w:val="baseline"/>
        </w:rPr>
        <w:t> </w:t>
      </w:r>
      <w:r>
        <w:rPr>
          <w:vertAlign w:val="baseline"/>
        </w:rPr>
        <w:t>described</w:t>
      </w:r>
      <w:r>
        <w:rPr>
          <w:spacing w:val="-7"/>
          <w:vertAlign w:val="baseline"/>
        </w:rPr>
        <w:t> </w:t>
      </w:r>
      <w:r>
        <w:rPr>
          <w:vertAlign w:val="baseline"/>
        </w:rPr>
        <w:t>large-scale</w:t>
      </w:r>
      <w:r>
        <w:rPr>
          <w:spacing w:val="-7"/>
          <w:vertAlign w:val="baseline"/>
        </w:rPr>
        <w:t> </w:t>
      </w:r>
      <w:r>
        <w:rPr>
          <w:vertAlign w:val="baseline"/>
        </w:rPr>
        <w:t>offensive</w:t>
      </w:r>
      <w:r>
        <w:rPr>
          <w:spacing w:val="-7"/>
          <w:vertAlign w:val="baseline"/>
        </w:rPr>
        <w:t> </w:t>
      </w:r>
      <w:r>
        <w:rPr>
          <w:vertAlign w:val="baseline"/>
        </w:rPr>
        <w:t>in</w:t>
      </w:r>
      <w:r>
        <w:rPr>
          <w:spacing w:val="-7"/>
          <w:vertAlign w:val="baseline"/>
        </w:rPr>
        <w:t> </w:t>
      </w:r>
      <w:r>
        <w:rPr>
          <w:vertAlign w:val="baseline"/>
        </w:rPr>
        <w:t>August</w:t>
      </w:r>
      <w:r>
        <w:rPr>
          <w:spacing w:val="-7"/>
          <w:vertAlign w:val="baseline"/>
        </w:rPr>
        <w:t> </w:t>
      </w:r>
      <w:r>
        <w:rPr>
          <w:vertAlign w:val="baseline"/>
        </w:rPr>
        <w:t>2008.</w:t>
      </w:r>
      <w:r>
        <w:rPr>
          <w:spacing w:val="14"/>
          <w:vertAlign w:val="baseline"/>
        </w:rPr>
        <w:t> </w:t>
      </w:r>
      <w:r>
        <w:rPr>
          <w:vertAlign w:val="baseline"/>
        </w:rPr>
        <w:t>The</w:t>
      </w:r>
      <w:r>
        <w:rPr>
          <w:spacing w:val="-7"/>
          <w:vertAlign w:val="baseline"/>
        </w:rPr>
        <w:t> </w:t>
      </w:r>
      <w:r>
        <w:rPr>
          <w:vertAlign w:val="baseline"/>
        </w:rPr>
        <w:t>Nigerian</w:t>
      </w:r>
      <w:r>
        <w:rPr>
          <w:spacing w:val="-7"/>
          <w:vertAlign w:val="baseline"/>
        </w:rPr>
        <w:t> </w:t>
      </w:r>
      <w:r>
        <w:rPr>
          <w:vertAlign w:val="baseline"/>
        </w:rPr>
        <w:t>government</w:t>
      </w:r>
      <w:r>
        <w:rPr>
          <w:spacing w:val="-7"/>
          <w:vertAlign w:val="baseline"/>
        </w:rPr>
        <w:t> </w:t>
      </w:r>
      <w:r>
        <w:rPr>
          <w:vertAlign w:val="baseline"/>
        </w:rPr>
        <w:t>continued</w:t>
      </w:r>
      <w:r>
        <w:rPr>
          <w:spacing w:val="-7"/>
          <w:vertAlign w:val="baseline"/>
        </w:rPr>
        <w:t> </w:t>
      </w:r>
      <w:r>
        <w:rPr>
          <w:vertAlign w:val="baseline"/>
        </w:rPr>
        <w:t>to</w:t>
      </w:r>
      <w:r>
        <w:rPr>
          <w:spacing w:val="-7"/>
          <w:vertAlign w:val="baseline"/>
        </w:rPr>
        <w:t> </w:t>
      </w:r>
      <w:r>
        <w:rPr>
          <w:vertAlign w:val="baseline"/>
        </w:rPr>
        <w:t>increase</w:t>
      </w:r>
      <w:r>
        <w:rPr>
          <w:spacing w:val="-7"/>
          <w:vertAlign w:val="baseline"/>
        </w:rPr>
        <w:t> </w:t>
      </w:r>
      <w:r>
        <w:rPr>
          <w:vertAlign w:val="baseline"/>
        </w:rPr>
        <w:t>its military budget over the course of 2009 to 2014 by about USD 5-6 billion.</w:t>
      </w:r>
      <w:r>
        <w:rPr>
          <w:rFonts w:ascii="Century Gothic" w:hAnsi="Century Gothic"/>
          <w:vertAlign w:val="superscript"/>
        </w:rPr>
        <w:t>68</w:t>
      </w:r>
    </w:p>
    <w:p>
      <w:pPr>
        <w:pStyle w:val="BodyText"/>
        <w:spacing w:line="316" w:lineRule="auto" w:before="130"/>
        <w:ind w:left="137" w:right="1793" w:firstLine="298"/>
        <w:jc w:val="both"/>
      </w:pPr>
      <w:r>
        <w:rPr/>
        <w:t>The</w:t>
      </w:r>
      <w:r>
        <w:rPr>
          <w:spacing w:val="-13"/>
        </w:rPr>
        <w:t> </w:t>
      </w:r>
      <w:r>
        <w:rPr/>
        <w:t>impact</w:t>
      </w:r>
      <w:r>
        <w:rPr>
          <w:spacing w:val="-12"/>
        </w:rPr>
        <w:t> </w:t>
      </w:r>
      <w:r>
        <w:rPr/>
        <w:t>of</w:t>
      </w:r>
      <w:r>
        <w:rPr>
          <w:spacing w:val="-12"/>
        </w:rPr>
        <w:t> </w:t>
      </w:r>
      <w:r>
        <w:rPr/>
        <w:t>these</w:t>
      </w:r>
      <w:r>
        <w:rPr>
          <w:spacing w:val="-12"/>
        </w:rPr>
        <w:t> </w:t>
      </w:r>
      <w:r>
        <w:rPr/>
        <w:t>military</w:t>
      </w:r>
      <w:r>
        <w:rPr>
          <w:spacing w:val="-12"/>
        </w:rPr>
        <w:t> </w:t>
      </w:r>
      <w:r>
        <w:rPr/>
        <w:t>offensives</w:t>
      </w:r>
      <w:r>
        <w:rPr>
          <w:spacing w:val="-12"/>
        </w:rPr>
        <w:t> </w:t>
      </w:r>
      <w:r>
        <w:rPr/>
        <w:t>in</w:t>
      </w:r>
      <w:r>
        <w:rPr>
          <w:spacing w:val="-12"/>
        </w:rPr>
        <w:t> </w:t>
      </w:r>
      <w:r>
        <w:rPr/>
        <w:t>terms</w:t>
      </w:r>
      <w:r>
        <w:rPr>
          <w:spacing w:val="-12"/>
        </w:rPr>
        <w:t> </w:t>
      </w:r>
      <w:r>
        <w:rPr/>
        <w:t>of</w:t>
      </w:r>
      <w:r>
        <w:rPr>
          <w:spacing w:val="-12"/>
        </w:rPr>
        <w:t> </w:t>
      </w:r>
      <w:r>
        <w:rPr/>
        <w:t>battle</w:t>
      </w:r>
      <w:r>
        <w:rPr>
          <w:spacing w:val="-12"/>
        </w:rPr>
        <w:t> </w:t>
      </w:r>
      <w:r>
        <w:rPr/>
        <w:t>deaths</w:t>
      </w:r>
      <w:r>
        <w:rPr>
          <w:spacing w:val="-12"/>
        </w:rPr>
        <w:t> </w:t>
      </w:r>
      <w:r>
        <w:rPr/>
        <w:t>helps</w:t>
      </w:r>
      <w:r>
        <w:rPr>
          <w:spacing w:val="-12"/>
        </w:rPr>
        <w:t> </w:t>
      </w:r>
      <w:r>
        <w:rPr/>
        <w:t>illustrate</w:t>
      </w:r>
      <w:r>
        <w:rPr>
          <w:spacing w:val="-12"/>
        </w:rPr>
        <w:t> </w:t>
      </w:r>
      <w:r>
        <w:rPr/>
        <w:t>the</w:t>
      </w:r>
      <w:r>
        <w:rPr>
          <w:spacing w:val="-12"/>
        </w:rPr>
        <w:t> </w:t>
      </w:r>
      <w:r>
        <w:rPr/>
        <w:t>complexity</w:t>
      </w:r>
      <w:r>
        <w:rPr>
          <w:spacing w:val="-12"/>
        </w:rPr>
        <w:t> </w:t>
      </w:r>
      <w:r>
        <w:rPr/>
        <w:t>of</w:t>
      </w:r>
      <w:r>
        <w:rPr>
          <w:spacing w:val="-12"/>
        </w:rPr>
        <w:t> </w:t>
      </w:r>
      <w:r>
        <w:rPr/>
        <w:t>the measure. The</w:t>
      </w:r>
      <w:r>
        <w:rPr>
          <w:spacing w:val="-10"/>
        </w:rPr>
        <w:t> </w:t>
      </w:r>
      <w:r>
        <w:rPr/>
        <w:t>civil</w:t>
      </w:r>
      <w:r>
        <w:rPr>
          <w:spacing w:val="-10"/>
        </w:rPr>
        <w:t> </w:t>
      </w:r>
      <w:r>
        <w:rPr/>
        <w:t>conflict</w:t>
      </w:r>
      <w:r>
        <w:rPr>
          <w:spacing w:val="-10"/>
        </w:rPr>
        <w:t> </w:t>
      </w:r>
      <w:r>
        <w:rPr/>
        <w:t>in</w:t>
      </w:r>
      <w:r>
        <w:rPr>
          <w:spacing w:val="-10"/>
        </w:rPr>
        <w:t> </w:t>
      </w:r>
      <w:r>
        <w:rPr/>
        <w:t>Nigeria</w:t>
      </w:r>
      <w:r>
        <w:rPr>
          <w:spacing w:val="-10"/>
        </w:rPr>
        <w:t> </w:t>
      </w:r>
      <w:r>
        <w:rPr/>
        <w:t>was</w:t>
      </w:r>
      <w:r>
        <w:rPr>
          <w:spacing w:val="-10"/>
        </w:rPr>
        <w:t> </w:t>
      </w:r>
      <w:r>
        <w:rPr/>
        <w:t>relatively</w:t>
      </w:r>
      <w:r>
        <w:rPr>
          <w:spacing w:val="-10"/>
        </w:rPr>
        <w:t> </w:t>
      </w:r>
      <w:r>
        <w:rPr/>
        <w:t>high-intensity,</w:t>
      </w:r>
      <w:r>
        <w:rPr>
          <w:spacing w:val="-10"/>
        </w:rPr>
        <w:t> </w:t>
      </w:r>
      <w:r>
        <w:rPr/>
        <w:t>with</w:t>
      </w:r>
      <w:r>
        <w:rPr>
          <w:spacing w:val="-10"/>
        </w:rPr>
        <w:t> </w:t>
      </w:r>
      <w:r>
        <w:rPr/>
        <w:t>over</w:t>
      </w:r>
      <w:r>
        <w:rPr>
          <w:spacing w:val="-10"/>
        </w:rPr>
        <w:t> </w:t>
      </w:r>
      <w:r>
        <w:rPr/>
        <w:t>500</w:t>
      </w:r>
      <w:r>
        <w:rPr>
          <w:spacing w:val="-10"/>
        </w:rPr>
        <w:t> </w:t>
      </w:r>
      <w:r>
        <w:rPr/>
        <w:t>fatalities</w:t>
      </w:r>
      <w:r>
        <w:rPr>
          <w:spacing w:val="-10"/>
        </w:rPr>
        <w:t> </w:t>
      </w:r>
      <w:r>
        <w:rPr/>
        <w:t>during</w:t>
      </w:r>
      <w:r>
        <w:rPr>
          <w:spacing w:val="-10"/>
        </w:rPr>
        <w:t> </w:t>
      </w:r>
      <w:r>
        <w:rPr/>
        <w:t>every year of the conflict.</w:t>
      </w:r>
      <w:r>
        <w:rPr>
          <w:spacing w:val="40"/>
        </w:rPr>
        <w:t> </w:t>
      </w:r>
      <w:r>
        <w:rPr/>
        <w:t>During the period of the offensives, this figure climbed to over 1000.</w:t>
      </w:r>
      <w:r>
        <w:rPr>
          <w:spacing w:val="40"/>
        </w:rPr>
        <w:t> </w:t>
      </w:r>
      <w:r>
        <w:rPr/>
        <w:t>This helps illustrate why increased military spending may correlate in a nonlinear fashion with battle deaths.</w:t>
      </w:r>
      <w:r>
        <w:rPr>
          <w:spacing w:val="31"/>
        </w:rPr>
        <w:t> </w:t>
      </w:r>
      <w:r>
        <w:rPr/>
        <w:t>In lower</w:t>
      </w:r>
      <w:r>
        <w:rPr>
          <w:spacing w:val="-10"/>
        </w:rPr>
        <w:t> </w:t>
      </w:r>
      <w:r>
        <w:rPr/>
        <w:t>intensity</w:t>
      </w:r>
      <w:r>
        <w:rPr>
          <w:spacing w:val="-10"/>
        </w:rPr>
        <w:t> </w:t>
      </w:r>
      <w:r>
        <w:rPr/>
        <w:t>situations,</w:t>
      </w:r>
      <w:r>
        <w:rPr>
          <w:spacing w:val="-9"/>
        </w:rPr>
        <w:t> </w:t>
      </w:r>
      <w:r>
        <w:rPr/>
        <w:t>increased</w:t>
      </w:r>
      <w:r>
        <w:rPr>
          <w:spacing w:val="-10"/>
        </w:rPr>
        <w:t> </w:t>
      </w:r>
      <w:r>
        <w:rPr/>
        <w:t>security</w:t>
      </w:r>
      <w:r>
        <w:rPr>
          <w:spacing w:val="-10"/>
        </w:rPr>
        <w:t> </w:t>
      </w:r>
      <w:r>
        <w:rPr/>
        <w:t>is</w:t>
      </w:r>
      <w:r>
        <w:rPr>
          <w:spacing w:val="-10"/>
        </w:rPr>
        <w:t> </w:t>
      </w:r>
      <w:r>
        <w:rPr/>
        <w:t>more</w:t>
      </w:r>
      <w:r>
        <w:rPr>
          <w:spacing w:val="-10"/>
        </w:rPr>
        <w:t> </w:t>
      </w:r>
      <w:r>
        <w:rPr/>
        <w:t>likely</w:t>
      </w:r>
      <w:r>
        <w:rPr>
          <w:spacing w:val="-10"/>
        </w:rPr>
        <w:t> </w:t>
      </w:r>
      <w:r>
        <w:rPr/>
        <w:t>to</w:t>
      </w:r>
      <w:r>
        <w:rPr>
          <w:spacing w:val="-10"/>
        </w:rPr>
        <w:t> </w:t>
      </w:r>
      <w:r>
        <w:rPr/>
        <w:t>result</w:t>
      </w:r>
      <w:r>
        <w:rPr>
          <w:spacing w:val="-10"/>
        </w:rPr>
        <w:t> </w:t>
      </w:r>
      <w:r>
        <w:rPr/>
        <w:t>in</w:t>
      </w:r>
      <w:r>
        <w:rPr>
          <w:spacing w:val="-10"/>
        </w:rPr>
        <w:t> </w:t>
      </w:r>
      <w:r>
        <w:rPr/>
        <w:t>the</w:t>
      </w:r>
      <w:r>
        <w:rPr>
          <w:spacing w:val="-10"/>
        </w:rPr>
        <w:t> </w:t>
      </w:r>
      <w:r>
        <w:rPr/>
        <w:t>end</w:t>
      </w:r>
      <w:r>
        <w:rPr>
          <w:spacing w:val="-10"/>
        </w:rPr>
        <w:t> </w:t>
      </w:r>
      <w:r>
        <w:rPr/>
        <w:t>of</w:t>
      </w:r>
      <w:r>
        <w:rPr>
          <w:spacing w:val="-10"/>
        </w:rPr>
        <w:t> </w:t>
      </w:r>
      <w:r>
        <w:rPr/>
        <w:t>rebel</w:t>
      </w:r>
      <w:r>
        <w:rPr>
          <w:spacing w:val="-10"/>
        </w:rPr>
        <w:t> </w:t>
      </w:r>
      <w:r>
        <w:rPr/>
        <w:t>activity,</w:t>
      </w:r>
      <w:r>
        <w:rPr>
          <w:spacing w:val="-9"/>
        </w:rPr>
        <w:t> </w:t>
      </w:r>
      <w:r>
        <w:rPr/>
        <w:t>whereas “crackdowns” in higher intensity conflicts may see spikes in violence as the state removes rebels.</w:t>
      </w:r>
    </w:p>
    <w:p>
      <w:pPr>
        <w:pStyle w:val="BodyText"/>
        <w:spacing w:line="309" w:lineRule="auto" w:before="135"/>
        <w:ind w:left="137" w:right="1792" w:firstLine="298"/>
        <w:jc w:val="both"/>
      </w:pPr>
      <w:r>
        <w:rPr>
          <w:spacing w:val="-2"/>
        </w:rPr>
        <w:t>In</w:t>
      </w:r>
      <w:r>
        <w:rPr>
          <w:spacing w:val="-11"/>
        </w:rPr>
        <w:t> </w:t>
      </w:r>
      <w:r>
        <w:rPr>
          <w:spacing w:val="-2"/>
        </w:rPr>
        <w:t>combination</w:t>
      </w:r>
      <w:r>
        <w:rPr>
          <w:spacing w:val="-10"/>
        </w:rPr>
        <w:t> </w:t>
      </w:r>
      <w:r>
        <w:rPr>
          <w:spacing w:val="-2"/>
        </w:rPr>
        <w:t>with</w:t>
      </w:r>
      <w:r>
        <w:rPr>
          <w:spacing w:val="-10"/>
        </w:rPr>
        <w:t> </w:t>
      </w:r>
      <w:r>
        <w:rPr>
          <w:spacing w:val="-2"/>
        </w:rPr>
        <w:t>these</w:t>
      </w:r>
      <w:r>
        <w:rPr>
          <w:spacing w:val="-10"/>
        </w:rPr>
        <w:t> </w:t>
      </w:r>
      <w:r>
        <w:rPr>
          <w:spacing w:val="-2"/>
        </w:rPr>
        <w:t>military</w:t>
      </w:r>
      <w:r>
        <w:rPr>
          <w:spacing w:val="-10"/>
        </w:rPr>
        <w:t> </w:t>
      </w:r>
      <w:r>
        <w:rPr>
          <w:spacing w:val="-2"/>
        </w:rPr>
        <w:t>actions,</w:t>
      </w:r>
      <w:r>
        <w:rPr>
          <w:spacing w:val="-10"/>
        </w:rPr>
        <w:t> </w:t>
      </w:r>
      <w:r>
        <w:rPr>
          <w:spacing w:val="-2"/>
        </w:rPr>
        <w:t>President</w:t>
      </w:r>
      <w:r>
        <w:rPr>
          <w:spacing w:val="-10"/>
        </w:rPr>
        <w:t> </w:t>
      </w:r>
      <w:r>
        <w:rPr>
          <w:spacing w:val="-2"/>
        </w:rPr>
        <w:t>Umaru</w:t>
      </w:r>
      <w:r>
        <w:rPr>
          <w:spacing w:val="-10"/>
        </w:rPr>
        <w:t> </w:t>
      </w:r>
      <w:r>
        <w:rPr>
          <w:spacing w:val="-2"/>
        </w:rPr>
        <w:t>Musa</w:t>
      </w:r>
      <w:r>
        <w:rPr>
          <w:spacing w:val="-10"/>
        </w:rPr>
        <w:t> </w:t>
      </w:r>
      <w:r>
        <w:rPr>
          <w:spacing w:val="-2"/>
        </w:rPr>
        <w:t>Yar’Adua</w:t>
      </w:r>
      <w:r>
        <w:rPr>
          <w:spacing w:val="-10"/>
        </w:rPr>
        <w:t> </w:t>
      </w:r>
      <w:r>
        <w:rPr>
          <w:spacing w:val="-2"/>
        </w:rPr>
        <w:t>spearheaded</w:t>
      </w:r>
      <w:r>
        <w:rPr>
          <w:spacing w:val="-10"/>
        </w:rPr>
        <w:t> </w:t>
      </w:r>
      <w:r>
        <w:rPr>
          <w:spacing w:val="-2"/>
        </w:rPr>
        <w:t>a</w:t>
      </w:r>
      <w:r>
        <w:rPr>
          <w:spacing w:val="-10"/>
        </w:rPr>
        <w:t> </w:t>
      </w:r>
      <w:r>
        <w:rPr>
          <w:spacing w:val="-2"/>
        </w:rPr>
        <w:t>sweeping </w:t>
      </w:r>
      <w:r>
        <w:rPr/>
        <w:t>2009 amnesty program instituted by the government to offer monthly payments to rebel groups to encourage</w:t>
      </w:r>
      <w:r>
        <w:rPr>
          <w:spacing w:val="-11"/>
        </w:rPr>
        <w:t> </w:t>
      </w:r>
      <w:r>
        <w:rPr/>
        <w:t>disarmament,</w:t>
      </w:r>
      <w:r>
        <w:rPr>
          <w:spacing w:val="-11"/>
        </w:rPr>
        <w:t> </w:t>
      </w:r>
      <w:r>
        <w:rPr/>
        <w:t>demobilization</w:t>
      </w:r>
      <w:r>
        <w:rPr>
          <w:spacing w:val="-11"/>
        </w:rPr>
        <w:t> </w:t>
      </w:r>
      <w:r>
        <w:rPr/>
        <w:t>and</w:t>
      </w:r>
      <w:r>
        <w:rPr>
          <w:spacing w:val="-11"/>
        </w:rPr>
        <w:t> </w:t>
      </w:r>
      <w:r>
        <w:rPr/>
        <w:t>reintegration</w:t>
      </w:r>
      <w:r>
        <w:rPr>
          <w:spacing w:val="-11"/>
        </w:rPr>
        <w:t> </w:t>
      </w:r>
      <w:r>
        <w:rPr/>
        <w:t>led</w:t>
      </w:r>
      <w:r>
        <w:rPr>
          <w:spacing w:val="-11"/>
        </w:rPr>
        <w:t> </w:t>
      </w:r>
      <w:r>
        <w:rPr/>
        <w:t>to</w:t>
      </w:r>
      <w:r>
        <w:rPr>
          <w:spacing w:val="-11"/>
        </w:rPr>
        <w:t> </w:t>
      </w:r>
      <w:r>
        <w:rPr/>
        <w:t>a</w:t>
      </w:r>
      <w:r>
        <w:rPr>
          <w:spacing w:val="-11"/>
        </w:rPr>
        <w:t> </w:t>
      </w:r>
      <w:r>
        <w:rPr/>
        <w:t>reduction</w:t>
      </w:r>
      <w:r>
        <w:rPr>
          <w:spacing w:val="-11"/>
        </w:rPr>
        <w:t> </w:t>
      </w:r>
      <w:r>
        <w:rPr/>
        <w:t>in</w:t>
      </w:r>
      <w:r>
        <w:rPr>
          <w:spacing w:val="-11"/>
        </w:rPr>
        <w:t> </w:t>
      </w:r>
      <w:r>
        <w:rPr/>
        <w:t>conflict.</w:t>
      </w:r>
      <w:r>
        <w:rPr>
          <w:rFonts w:ascii="Century Gothic" w:hAnsi="Century Gothic"/>
          <w:vertAlign w:val="superscript"/>
        </w:rPr>
        <w:t>69</w:t>
      </w:r>
      <w:r>
        <w:rPr>
          <w:rFonts w:ascii="Century Gothic" w:hAnsi="Century Gothic"/>
          <w:vertAlign w:val="baseline"/>
        </w:rPr>
        <w:t> </w:t>
      </w:r>
      <w:r>
        <w:rPr>
          <w:vertAlign w:val="baseline"/>
        </w:rPr>
        <w:t>The</w:t>
      </w:r>
      <w:r>
        <w:rPr>
          <w:spacing w:val="-11"/>
          <w:vertAlign w:val="baseline"/>
        </w:rPr>
        <w:t> </w:t>
      </w:r>
      <w:r>
        <w:rPr>
          <w:vertAlign w:val="baseline"/>
        </w:rPr>
        <w:t>amnesty program, widely applauded by international audiences and militant leaders, did have some effective strategies</w:t>
      </w:r>
      <w:r>
        <w:rPr>
          <w:spacing w:val="-8"/>
          <w:vertAlign w:val="baseline"/>
        </w:rPr>
        <w:t> </w:t>
      </w:r>
      <w:r>
        <w:rPr>
          <w:vertAlign w:val="baseline"/>
        </w:rPr>
        <w:t>at</w:t>
      </w:r>
      <w:r>
        <w:rPr>
          <w:spacing w:val="-8"/>
          <w:vertAlign w:val="baseline"/>
        </w:rPr>
        <w:t> </w:t>
      </w:r>
      <w:r>
        <w:rPr>
          <w:vertAlign w:val="baseline"/>
        </w:rPr>
        <w:t>reducing</w:t>
      </w:r>
      <w:r>
        <w:rPr>
          <w:spacing w:val="-8"/>
          <w:vertAlign w:val="baseline"/>
        </w:rPr>
        <w:t> </w:t>
      </w:r>
      <w:r>
        <w:rPr>
          <w:vertAlign w:val="baseline"/>
        </w:rPr>
        <w:t>violence</w:t>
      </w:r>
      <w:r>
        <w:rPr>
          <w:spacing w:val="-8"/>
          <w:vertAlign w:val="baseline"/>
        </w:rPr>
        <w:t> </w:t>
      </w:r>
      <w:r>
        <w:rPr>
          <w:vertAlign w:val="baseline"/>
        </w:rPr>
        <w:t>in</w:t>
      </w:r>
      <w:r>
        <w:rPr>
          <w:spacing w:val="-8"/>
          <w:vertAlign w:val="baseline"/>
        </w:rPr>
        <w:t> </w:t>
      </w:r>
      <w:r>
        <w:rPr>
          <w:vertAlign w:val="baseline"/>
        </w:rPr>
        <w:t>the</w:t>
      </w:r>
      <w:r>
        <w:rPr>
          <w:spacing w:val="-8"/>
          <w:vertAlign w:val="baseline"/>
        </w:rPr>
        <w:t> </w:t>
      </w:r>
      <w:r>
        <w:rPr>
          <w:vertAlign w:val="baseline"/>
        </w:rPr>
        <w:t>region.</w:t>
      </w:r>
      <w:r>
        <w:rPr>
          <w:spacing w:val="10"/>
          <w:vertAlign w:val="baseline"/>
        </w:rPr>
        <w:t> </w:t>
      </w:r>
      <w:r>
        <w:rPr>
          <w:vertAlign w:val="baseline"/>
        </w:rPr>
        <w:t>A</w:t>
      </w:r>
      <w:r>
        <w:rPr>
          <w:spacing w:val="-8"/>
          <w:vertAlign w:val="baseline"/>
        </w:rPr>
        <w:t> </w:t>
      </w:r>
      <w:r>
        <w:rPr>
          <w:vertAlign w:val="baseline"/>
        </w:rPr>
        <w:t>committee</w:t>
      </w:r>
      <w:r>
        <w:rPr>
          <w:spacing w:val="-8"/>
          <w:vertAlign w:val="baseline"/>
        </w:rPr>
        <w:t> </w:t>
      </w:r>
      <w:r>
        <w:rPr>
          <w:vertAlign w:val="baseline"/>
        </w:rPr>
        <w:t>in</w:t>
      </w:r>
      <w:r>
        <w:rPr>
          <w:spacing w:val="-8"/>
          <w:vertAlign w:val="baseline"/>
        </w:rPr>
        <w:t> </w:t>
      </w:r>
      <w:r>
        <w:rPr>
          <w:vertAlign w:val="baseline"/>
        </w:rPr>
        <w:t>charge</w:t>
      </w:r>
      <w:r>
        <w:rPr>
          <w:spacing w:val="-8"/>
          <w:vertAlign w:val="baseline"/>
        </w:rPr>
        <w:t> </w:t>
      </w:r>
      <w:r>
        <w:rPr>
          <w:vertAlign w:val="baseline"/>
        </w:rPr>
        <w:t>of</w:t>
      </w:r>
      <w:r>
        <w:rPr>
          <w:spacing w:val="-8"/>
          <w:vertAlign w:val="baseline"/>
        </w:rPr>
        <w:t> </w:t>
      </w:r>
      <w:r>
        <w:rPr>
          <w:vertAlign w:val="baseline"/>
        </w:rPr>
        <w:t>the</w:t>
      </w:r>
      <w:r>
        <w:rPr>
          <w:spacing w:val="-8"/>
          <w:vertAlign w:val="baseline"/>
        </w:rPr>
        <w:t> </w:t>
      </w:r>
      <w:r>
        <w:rPr>
          <w:vertAlign w:val="baseline"/>
        </w:rPr>
        <w:t>amnesty</w:t>
      </w:r>
      <w:r>
        <w:rPr>
          <w:spacing w:val="-8"/>
          <w:vertAlign w:val="baseline"/>
        </w:rPr>
        <w:t> </w:t>
      </w:r>
      <w:r>
        <w:rPr>
          <w:vertAlign w:val="baseline"/>
        </w:rPr>
        <w:t>program</w:t>
      </w:r>
      <w:r>
        <w:rPr>
          <w:spacing w:val="-8"/>
          <w:vertAlign w:val="baseline"/>
        </w:rPr>
        <w:t> </w:t>
      </w:r>
      <w:r>
        <w:rPr>
          <w:vertAlign w:val="baseline"/>
        </w:rPr>
        <w:t>found</w:t>
      </w:r>
      <w:r>
        <w:rPr>
          <w:spacing w:val="-8"/>
          <w:vertAlign w:val="baseline"/>
        </w:rPr>
        <w:t> </w:t>
      </w:r>
      <w:r>
        <w:rPr>
          <w:vertAlign w:val="baseline"/>
        </w:rPr>
        <w:t>that nearly</w:t>
      </w:r>
      <w:r>
        <w:rPr>
          <w:spacing w:val="-2"/>
          <w:vertAlign w:val="baseline"/>
        </w:rPr>
        <w:t> </w:t>
      </w:r>
      <w:r>
        <w:rPr>
          <w:vertAlign w:val="baseline"/>
        </w:rPr>
        <w:t>300,000</w:t>
      </w:r>
      <w:r>
        <w:rPr>
          <w:spacing w:val="-2"/>
          <w:vertAlign w:val="baseline"/>
        </w:rPr>
        <w:t> </w:t>
      </w:r>
      <w:r>
        <w:rPr>
          <w:vertAlign w:val="baseline"/>
        </w:rPr>
        <w:t>pieces</w:t>
      </w:r>
      <w:r>
        <w:rPr>
          <w:spacing w:val="-2"/>
          <w:vertAlign w:val="baseline"/>
        </w:rPr>
        <w:t> </w:t>
      </w:r>
      <w:r>
        <w:rPr>
          <w:vertAlign w:val="baseline"/>
        </w:rPr>
        <w:t>of</w:t>
      </w:r>
      <w:r>
        <w:rPr>
          <w:spacing w:val="-2"/>
          <w:vertAlign w:val="baseline"/>
        </w:rPr>
        <w:t> </w:t>
      </w:r>
      <w:r>
        <w:rPr>
          <w:vertAlign w:val="baseline"/>
        </w:rPr>
        <w:t>various</w:t>
      </w:r>
      <w:r>
        <w:rPr>
          <w:spacing w:val="-2"/>
          <w:vertAlign w:val="baseline"/>
        </w:rPr>
        <w:t> </w:t>
      </w:r>
      <w:r>
        <w:rPr>
          <w:vertAlign w:val="baseline"/>
        </w:rPr>
        <w:t>guns</w:t>
      </w:r>
      <w:r>
        <w:rPr>
          <w:spacing w:val="-2"/>
          <w:vertAlign w:val="baseline"/>
        </w:rPr>
        <w:t> </w:t>
      </w:r>
      <w:r>
        <w:rPr>
          <w:vertAlign w:val="baseline"/>
        </w:rPr>
        <w:t>and</w:t>
      </w:r>
      <w:r>
        <w:rPr>
          <w:spacing w:val="-2"/>
          <w:vertAlign w:val="baseline"/>
        </w:rPr>
        <w:t> </w:t>
      </w:r>
      <w:r>
        <w:rPr>
          <w:vertAlign w:val="baseline"/>
        </w:rPr>
        <w:t>ammunition</w:t>
      </w:r>
      <w:r>
        <w:rPr>
          <w:spacing w:val="-2"/>
          <w:vertAlign w:val="baseline"/>
        </w:rPr>
        <w:t> </w:t>
      </w:r>
      <w:r>
        <w:rPr>
          <w:vertAlign w:val="baseline"/>
        </w:rPr>
        <w:t>were</w:t>
      </w:r>
      <w:r>
        <w:rPr>
          <w:spacing w:val="-2"/>
          <w:vertAlign w:val="baseline"/>
        </w:rPr>
        <w:t> </w:t>
      </w:r>
      <w:r>
        <w:rPr>
          <w:vertAlign w:val="baseline"/>
        </w:rPr>
        <w:t>purchased</w:t>
      </w:r>
      <w:r>
        <w:rPr>
          <w:spacing w:val="-2"/>
          <w:vertAlign w:val="baseline"/>
        </w:rPr>
        <w:t> </w:t>
      </w:r>
      <w:r>
        <w:rPr>
          <w:vertAlign w:val="baseline"/>
        </w:rPr>
        <w:t>in</w:t>
      </w:r>
      <w:r>
        <w:rPr>
          <w:spacing w:val="-2"/>
          <w:vertAlign w:val="baseline"/>
        </w:rPr>
        <w:t> </w:t>
      </w:r>
      <w:r>
        <w:rPr>
          <w:vertAlign w:val="baseline"/>
        </w:rPr>
        <w:t>a</w:t>
      </w:r>
      <w:r>
        <w:rPr>
          <w:spacing w:val="-2"/>
          <w:vertAlign w:val="baseline"/>
        </w:rPr>
        <w:t> </w:t>
      </w:r>
      <w:r>
        <w:rPr>
          <w:vertAlign w:val="baseline"/>
        </w:rPr>
        <w:t>gun-</w:t>
      </w:r>
      <w:r>
        <w:rPr>
          <w:spacing w:val="-2"/>
          <w:vertAlign w:val="baseline"/>
        </w:rPr>
        <w:t> </w:t>
      </w:r>
      <w:r>
        <w:rPr>
          <w:vertAlign w:val="baseline"/>
        </w:rPr>
        <w:t>buyback</w:t>
      </w:r>
      <w:r>
        <w:rPr>
          <w:spacing w:val="-2"/>
          <w:vertAlign w:val="baseline"/>
        </w:rPr>
        <w:t> </w:t>
      </w:r>
      <w:r>
        <w:rPr>
          <w:vertAlign w:val="baseline"/>
        </w:rPr>
        <w:t>program</w:t>
      </w:r>
      <w:r>
        <w:rPr>
          <w:spacing w:val="-2"/>
          <w:vertAlign w:val="baseline"/>
        </w:rPr>
        <w:t> </w:t>
      </w:r>
      <w:r>
        <w:rPr>
          <w:vertAlign w:val="baseline"/>
        </w:rPr>
        <w:t>in 2010.</w:t>
      </w:r>
      <w:r>
        <w:rPr>
          <w:rFonts w:ascii="Century Gothic" w:hAnsi="Century Gothic"/>
          <w:vertAlign w:val="superscript"/>
        </w:rPr>
        <w:t>70</w:t>
      </w:r>
      <w:r>
        <w:rPr>
          <w:rFonts w:ascii="Century Gothic" w:hAnsi="Century Gothic"/>
          <w:spacing w:val="27"/>
          <w:vertAlign w:val="baseline"/>
        </w:rPr>
        <w:t> </w:t>
      </w:r>
      <w:r>
        <w:rPr>
          <w:vertAlign w:val="baseline"/>
        </w:rPr>
        <w:t>Similarly to the military measures, these social measures were funded in large part by budget increases</w:t>
      </w:r>
      <w:r>
        <w:rPr>
          <w:spacing w:val="-13"/>
          <w:vertAlign w:val="baseline"/>
        </w:rPr>
        <w:t> </w:t>
      </w:r>
      <w:r>
        <w:rPr>
          <w:vertAlign w:val="baseline"/>
        </w:rPr>
        <w:t>allowed</w:t>
      </w:r>
      <w:r>
        <w:rPr>
          <w:spacing w:val="-12"/>
          <w:vertAlign w:val="baseline"/>
        </w:rPr>
        <w:t> </w:t>
      </w:r>
      <w:r>
        <w:rPr>
          <w:vertAlign w:val="baseline"/>
        </w:rPr>
        <w:t>by</w:t>
      </w:r>
      <w:r>
        <w:rPr>
          <w:spacing w:val="-12"/>
          <w:vertAlign w:val="baseline"/>
        </w:rPr>
        <w:t> </w:t>
      </w:r>
      <w:r>
        <w:rPr>
          <w:vertAlign w:val="baseline"/>
        </w:rPr>
        <w:t>the</w:t>
      </w:r>
      <w:r>
        <w:rPr>
          <w:spacing w:val="-12"/>
          <w:vertAlign w:val="baseline"/>
        </w:rPr>
        <w:t> </w:t>
      </w:r>
      <w:r>
        <w:rPr>
          <w:vertAlign w:val="baseline"/>
        </w:rPr>
        <w:t>increase</w:t>
      </w:r>
      <w:r>
        <w:rPr>
          <w:spacing w:val="-12"/>
          <w:vertAlign w:val="baseline"/>
        </w:rPr>
        <w:t> </w:t>
      </w:r>
      <w:r>
        <w:rPr>
          <w:vertAlign w:val="baseline"/>
        </w:rPr>
        <w:t>in</w:t>
      </w:r>
      <w:r>
        <w:rPr>
          <w:spacing w:val="-12"/>
          <w:vertAlign w:val="baseline"/>
        </w:rPr>
        <w:t> </w:t>
      </w:r>
      <w:r>
        <w:rPr>
          <w:vertAlign w:val="baseline"/>
        </w:rPr>
        <w:t>state</w:t>
      </w:r>
      <w:r>
        <w:rPr>
          <w:spacing w:val="-12"/>
          <w:vertAlign w:val="baseline"/>
        </w:rPr>
        <w:t> </w:t>
      </w:r>
      <w:r>
        <w:rPr>
          <w:vertAlign w:val="baseline"/>
        </w:rPr>
        <w:t>oil</w:t>
      </w:r>
      <w:r>
        <w:rPr>
          <w:spacing w:val="-12"/>
          <w:vertAlign w:val="baseline"/>
        </w:rPr>
        <w:t> </w:t>
      </w:r>
      <w:r>
        <w:rPr>
          <w:vertAlign w:val="baseline"/>
        </w:rPr>
        <w:t>revenues.</w:t>
      </w:r>
      <w:r>
        <w:rPr>
          <w:spacing w:val="-12"/>
          <w:vertAlign w:val="baseline"/>
        </w:rPr>
        <w:t> </w:t>
      </w:r>
      <w:r>
        <w:rPr>
          <w:vertAlign w:val="baseline"/>
        </w:rPr>
        <w:t>In</w:t>
      </w:r>
      <w:r>
        <w:rPr>
          <w:spacing w:val="-12"/>
          <w:vertAlign w:val="baseline"/>
        </w:rPr>
        <w:t> </w:t>
      </w:r>
      <w:r>
        <w:rPr>
          <w:vertAlign w:val="baseline"/>
        </w:rPr>
        <w:t>combination</w:t>
      </w:r>
      <w:r>
        <w:rPr>
          <w:spacing w:val="-12"/>
          <w:vertAlign w:val="baseline"/>
        </w:rPr>
        <w:t> </w:t>
      </w:r>
      <w:r>
        <w:rPr>
          <w:vertAlign w:val="baseline"/>
        </w:rPr>
        <w:t>with</w:t>
      </w:r>
      <w:r>
        <w:rPr>
          <w:spacing w:val="-12"/>
          <w:vertAlign w:val="baseline"/>
        </w:rPr>
        <w:t> </w:t>
      </w:r>
      <w:r>
        <w:rPr>
          <w:vertAlign w:val="baseline"/>
        </w:rPr>
        <w:t>the</w:t>
      </w:r>
      <w:r>
        <w:rPr>
          <w:spacing w:val="-12"/>
          <w:vertAlign w:val="baseline"/>
        </w:rPr>
        <w:t> </w:t>
      </w:r>
      <w:r>
        <w:rPr>
          <w:vertAlign w:val="baseline"/>
        </w:rPr>
        <w:t>military</w:t>
      </w:r>
      <w:r>
        <w:rPr>
          <w:spacing w:val="-12"/>
          <w:vertAlign w:val="baseline"/>
        </w:rPr>
        <w:t> </w:t>
      </w:r>
      <w:r>
        <w:rPr>
          <w:vertAlign w:val="baseline"/>
        </w:rPr>
        <w:t>measures,</w:t>
      </w:r>
      <w:r>
        <w:rPr>
          <w:spacing w:val="-12"/>
          <w:vertAlign w:val="baseline"/>
        </w:rPr>
        <w:t> </w:t>
      </w:r>
      <w:r>
        <w:rPr>
          <w:vertAlign w:val="baseline"/>
        </w:rPr>
        <w:t>these actions served to ultimately pacify large parts of the region.</w:t>
      </w:r>
      <w:r>
        <w:rPr>
          <w:spacing w:val="35"/>
          <w:vertAlign w:val="baseline"/>
        </w:rPr>
        <w:t> </w:t>
      </w:r>
      <w:r>
        <w:rPr>
          <w:vertAlign w:val="baseline"/>
        </w:rPr>
        <w:t>Following these initiatives, both military and social, the number of battle deaths from civil conflict in Nigeria fell.</w:t>
      </w:r>
    </w:p>
    <w:p>
      <w:pPr>
        <w:pStyle w:val="BodyText"/>
        <w:spacing w:before="153"/>
        <w:ind w:left="436"/>
      </w:pPr>
      <w:r>
        <w:rPr>
          <w:spacing w:val="-2"/>
        </w:rPr>
        <w:t>Unfortunately</w:t>
      </w:r>
      <w:r>
        <w:rPr>
          <w:spacing w:val="-7"/>
        </w:rPr>
        <w:t> </w:t>
      </w:r>
      <w:r>
        <w:rPr>
          <w:spacing w:val="-2"/>
        </w:rPr>
        <w:t>these</w:t>
      </w:r>
      <w:r>
        <w:rPr>
          <w:spacing w:val="-6"/>
        </w:rPr>
        <w:t> </w:t>
      </w:r>
      <w:r>
        <w:rPr>
          <w:spacing w:val="-2"/>
        </w:rPr>
        <w:t>gains</w:t>
      </w:r>
      <w:r>
        <w:rPr>
          <w:spacing w:val="-7"/>
        </w:rPr>
        <w:t> </w:t>
      </w:r>
      <w:r>
        <w:rPr>
          <w:spacing w:val="-2"/>
        </w:rPr>
        <w:t>were</w:t>
      </w:r>
      <w:r>
        <w:rPr>
          <w:spacing w:val="-6"/>
        </w:rPr>
        <w:t> </w:t>
      </w:r>
      <w:r>
        <w:rPr>
          <w:spacing w:val="-2"/>
        </w:rPr>
        <w:t>short-lived.</w:t>
      </w:r>
      <w:r>
        <w:rPr>
          <w:spacing w:val="15"/>
        </w:rPr>
        <w:t> </w:t>
      </w:r>
      <w:r>
        <w:rPr>
          <w:spacing w:val="-2"/>
        </w:rPr>
        <w:t>Beginning</w:t>
      </w:r>
      <w:r>
        <w:rPr>
          <w:spacing w:val="-6"/>
        </w:rPr>
        <w:t> </w:t>
      </w:r>
      <w:r>
        <w:rPr>
          <w:spacing w:val="-2"/>
        </w:rPr>
        <w:t>in</w:t>
      </w:r>
      <w:r>
        <w:rPr>
          <w:spacing w:val="-6"/>
        </w:rPr>
        <w:t> </w:t>
      </w:r>
      <w:r>
        <w:rPr>
          <w:spacing w:val="-2"/>
        </w:rPr>
        <w:t>2014,</w:t>
      </w:r>
      <w:r>
        <w:rPr>
          <w:spacing w:val="-5"/>
        </w:rPr>
        <w:t> </w:t>
      </w:r>
      <w:r>
        <w:rPr>
          <w:spacing w:val="-2"/>
        </w:rPr>
        <w:t>oil</w:t>
      </w:r>
      <w:r>
        <w:rPr>
          <w:spacing w:val="-6"/>
        </w:rPr>
        <w:t> </w:t>
      </w:r>
      <w:r>
        <w:rPr>
          <w:spacing w:val="-2"/>
        </w:rPr>
        <w:t>prices</w:t>
      </w:r>
      <w:r>
        <w:rPr>
          <w:spacing w:val="-6"/>
        </w:rPr>
        <w:t> </w:t>
      </w:r>
      <w:r>
        <w:rPr>
          <w:spacing w:val="-2"/>
        </w:rPr>
        <w:t>began</w:t>
      </w:r>
      <w:r>
        <w:rPr>
          <w:spacing w:val="-6"/>
        </w:rPr>
        <w:t> </w:t>
      </w:r>
      <w:r>
        <w:rPr>
          <w:spacing w:val="-2"/>
        </w:rPr>
        <w:t>a</w:t>
      </w:r>
      <w:r>
        <w:rPr>
          <w:spacing w:val="-6"/>
        </w:rPr>
        <w:t> </w:t>
      </w:r>
      <w:r>
        <w:rPr>
          <w:spacing w:val="-2"/>
        </w:rPr>
        <w:t>steep</w:t>
      </w:r>
      <w:r>
        <w:rPr>
          <w:spacing w:val="-6"/>
        </w:rPr>
        <w:t> </w:t>
      </w:r>
      <w:r>
        <w:rPr>
          <w:spacing w:val="-2"/>
        </w:rPr>
        <w:t>and</w:t>
      </w:r>
      <w:r>
        <w:rPr>
          <w:spacing w:val="-7"/>
        </w:rPr>
        <w:t> </w:t>
      </w:r>
      <w:r>
        <w:rPr>
          <w:spacing w:val="-2"/>
        </w:rPr>
        <w:t>sustained</w:t>
      </w:r>
    </w:p>
    <w:p>
      <w:pPr>
        <w:pStyle w:val="BodyText"/>
        <w:spacing w:before="3"/>
        <w:rPr>
          <w:sz w:val="8"/>
        </w:rPr>
      </w:pPr>
      <w:r>
        <w:rPr/>
        <w:pict>
          <v:shape style="position:absolute;margin-left:70.865997pt;margin-top:5.916566pt;width:179.75pt;height:.1pt;mso-position-horizontal-relative:page;mso-position-vertical-relative:paragraph;z-index:-15716352;mso-wrap-distance-left:0;mso-wrap-distance-right:0" id="docshape26" coordorigin="1417,118" coordsize="3595,0" path="m1417,118l5012,118e" filled="false" stroked="true" strokeweight=".398pt" strokecolor="#000000">
            <v:path arrowok="t"/>
            <v:stroke dashstyle="solid"/>
            <w10:wrap type="topAndBottom"/>
          </v:shape>
        </w:pict>
      </w:r>
    </w:p>
    <w:p>
      <w:pPr>
        <w:spacing w:before="34"/>
        <w:ind w:left="286" w:right="0" w:firstLine="0"/>
        <w:jc w:val="left"/>
        <w:rPr>
          <w:rFonts w:ascii="Bookman Old Style"/>
          <w:b w:val="0"/>
          <w:sz w:val="16"/>
        </w:rPr>
      </w:pPr>
      <w:r>
        <w:rPr>
          <w:rFonts w:ascii="Bookman Old Style"/>
          <w:b w:val="0"/>
          <w:spacing w:val="-2"/>
          <w:sz w:val="16"/>
          <w:vertAlign w:val="superscript"/>
        </w:rPr>
        <w:t>62</w:t>
      </w:r>
      <w:r>
        <w:rPr>
          <w:rFonts w:ascii="Bookman Old Style"/>
          <w:b w:val="0"/>
          <w:spacing w:val="-2"/>
          <w:sz w:val="16"/>
          <w:vertAlign w:val="baseline"/>
        </w:rPr>
        <w:t>Francis</w:t>
      </w:r>
      <w:r>
        <w:rPr>
          <w:rFonts w:ascii="Bookman Old Style"/>
          <w:b w:val="0"/>
          <w:spacing w:val="-8"/>
          <w:sz w:val="16"/>
          <w:vertAlign w:val="baseline"/>
        </w:rPr>
        <w:t> </w:t>
      </w:r>
      <w:r>
        <w:rPr>
          <w:rFonts w:ascii="Bookman Old Style"/>
          <w:b w:val="0"/>
          <w:spacing w:val="-2"/>
          <w:sz w:val="16"/>
          <w:vertAlign w:val="baseline"/>
        </w:rPr>
        <w:t>et</w:t>
      </w:r>
      <w:r>
        <w:rPr>
          <w:rFonts w:ascii="Bookman Old Style"/>
          <w:b w:val="0"/>
          <w:spacing w:val="-7"/>
          <w:sz w:val="16"/>
          <w:vertAlign w:val="baseline"/>
        </w:rPr>
        <w:t> </w:t>
      </w:r>
      <w:r>
        <w:rPr>
          <w:rFonts w:ascii="Bookman Old Style"/>
          <w:b w:val="0"/>
          <w:spacing w:val="-2"/>
          <w:sz w:val="16"/>
          <w:vertAlign w:val="baseline"/>
        </w:rPr>
        <w:t>al.</w:t>
      </w:r>
      <w:r>
        <w:rPr>
          <w:rFonts w:ascii="Bookman Old Style"/>
          <w:b w:val="0"/>
          <w:spacing w:val="7"/>
          <w:sz w:val="16"/>
          <w:vertAlign w:val="baseline"/>
        </w:rPr>
        <w:t> </w:t>
      </w:r>
      <w:r>
        <w:rPr>
          <w:rFonts w:ascii="Bookman Old Style"/>
          <w:b w:val="0"/>
          <w:spacing w:val="-2"/>
          <w:sz w:val="16"/>
          <w:vertAlign w:val="baseline"/>
        </w:rPr>
        <w:t>(2011);</w:t>
      </w:r>
      <w:r>
        <w:rPr>
          <w:rFonts w:ascii="Bookman Old Style"/>
          <w:b w:val="0"/>
          <w:spacing w:val="-7"/>
          <w:sz w:val="16"/>
          <w:vertAlign w:val="baseline"/>
        </w:rPr>
        <w:t> </w:t>
      </w:r>
      <w:r>
        <w:rPr>
          <w:rFonts w:ascii="Bookman Old Style"/>
          <w:b w:val="0"/>
          <w:spacing w:val="-2"/>
          <w:sz w:val="16"/>
          <w:vertAlign w:val="baseline"/>
        </w:rPr>
        <w:t>Newsom</w:t>
      </w:r>
      <w:r>
        <w:rPr>
          <w:rFonts w:ascii="Bookman Old Style"/>
          <w:b w:val="0"/>
          <w:spacing w:val="-8"/>
          <w:sz w:val="16"/>
          <w:vertAlign w:val="baseline"/>
        </w:rPr>
        <w:t> </w:t>
      </w:r>
      <w:r>
        <w:rPr>
          <w:rFonts w:ascii="Bookman Old Style"/>
          <w:b w:val="0"/>
          <w:spacing w:val="-2"/>
          <w:sz w:val="16"/>
          <w:vertAlign w:val="baseline"/>
        </w:rPr>
        <w:t>(2011);</w:t>
      </w:r>
      <w:r>
        <w:rPr>
          <w:rFonts w:ascii="Bookman Old Style"/>
          <w:b w:val="0"/>
          <w:spacing w:val="-7"/>
          <w:sz w:val="16"/>
          <w:vertAlign w:val="baseline"/>
        </w:rPr>
        <w:t> </w:t>
      </w:r>
      <w:r>
        <w:rPr>
          <w:rFonts w:ascii="Bookman Old Style"/>
          <w:b w:val="0"/>
          <w:spacing w:val="-2"/>
          <w:sz w:val="16"/>
          <w:vertAlign w:val="baseline"/>
        </w:rPr>
        <w:t>Aghedo</w:t>
      </w:r>
      <w:r>
        <w:rPr>
          <w:rFonts w:ascii="Bookman Old Style"/>
          <w:b w:val="0"/>
          <w:spacing w:val="-7"/>
          <w:sz w:val="16"/>
          <w:vertAlign w:val="baseline"/>
        </w:rPr>
        <w:t> </w:t>
      </w:r>
      <w:r>
        <w:rPr>
          <w:rFonts w:ascii="Bookman Old Style"/>
          <w:b w:val="0"/>
          <w:spacing w:val="-2"/>
          <w:sz w:val="16"/>
          <w:vertAlign w:val="baseline"/>
        </w:rPr>
        <w:t>(2012);</w:t>
      </w:r>
      <w:r>
        <w:rPr>
          <w:rFonts w:ascii="Bookman Old Style"/>
          <w:b w:val="0"/>
          <w:spacing w:val="-8"/>
          <w:sz w:val="16"/>
          <w:vertAlign w:val="baseline"/>
        </w:rPr>
        <w:t> </w:t>
      </w:r>
      <w:r>
        <w:rPr>
          <w:rFonts w:ascii="Bookman Old Style"/>
          <w:b w:val="0"/>
          <w:spacing w:val="-2"/>
          <w:sz w:val="16"/>
          <w:vertAlign w:val="baseline"/>
        </w:rPr>
        <w:t>Campbell</w:t>
      </w:r>
      <w:r>
        <w:rPr>
          <w:rFonts w:ascii="Bookman Old Style"/>
          <w:b w:val="0"/>
          <w:spacing w:val="-7"/>
          <w:sz w:val="16"/>
          <w:vertAlign w:val="baseline"/>
        </w:rPr>
        <w:t> </w:t>
      </w:r>
      <w:r>
        <w:rPr>
          <w:rFonts w:ascii="Bookman Old Style"/>
          <w:b w:val="0"/>
          <w:spacing w:val="-2"/>
          <w:sz w:val="16"/>
          <w:vertAlign w:val="baseline"/>
        </w:rPr>
        <w:t>(2020).</w:t>
      </w:r>
    </w:p>
    <w:p>
      <w:pPr>
        <w:spacing w:before="2"/>
        <w:ind w:left="286" w:right="0" w:firstLine="0"/>
        <w:jc w:val="left"/>
        <w:rPr>
          <w:rFonts w:ascii="Bookman Old Style"/>
          <w:b w:val="0"/>
          <w:sz w:val="16"/>
        </w:rPr>
      </w:pPr>
      <w:r>
        <w:rPr>
          <w:rFonts w:ascii="Bookman Old Style"/>
          <w:b w:val="0"/>
          <w:sz w:val="16"/>
          <w:vertAlign w:val="superscript"/>
        </w:rPr>
        <w:t>63</w:t>
      </w:r>
      <w:r>
        <w:rPr>
          <w:rFonts w:ascii="Bookman Old Style"/>
          <w:b w:val="0"/>
          <w:sz w:val="16"/>
          <w:vertAlign w:val="baseline"/>
        </w:rPr>
        <w:t>Obi</w:t>
      </w:r>
      <w:r>
        <w:rPr>
          <w:rFonts w:ascii="Bookman Old Style"/>
          <w:b w:val="0"/>
          <w:spacing w:val="-10"/>
          <w:sz w:val="16"/>
          <w:vertAlign w:val="baseline"/>
        </w:rPr>
        <w:t> </w:t>
      </w:r>
      <w:r>
        <w:rPr>
          <w:rFonts w:ascii="Bookman Old Style"/>
          <w:b w:val="0"/>
          <w:sz w:val="16"/>
          <w:vertAlign w:val="baseline"/>
        </w:rPr>
        <w:t>(2010);</w:t>
      </w:r>
      <w:r>
        <w:rPr>
          <w:rFonts w:ascii="Bookman Old Style"/>
          <w:b w:val="0"/>
          <w:spacing w:val="-10"/>
          <w:sz w:val="16"/>
          <w:vertAlign w:val="baseline"/>
        </w:rPr>
        <w:t> </w:t>
      </w:r>
      <w:r>
        <w:rPr>
          <w:rFonts w:ascii="Bookman Old Style"/>
          <w:b w:val="0"/>
          <w:sz w:val="16"/>
          <w:vertAlign w:val="baseline"/>
        </w:rPr>
        <w:t>Francis</w:t>
      </w:r>
      <w:r>
        <w:rPr>
          <w:rFonts w:ascii="Bookman Old Style"/>
          <w:b w:val="0"/>
          <w:spacing w:val="-10"/>
          <w:sz w:val="16"/>
          <w:vertAlign w:val="baseline"/>
        </w:rPr>
        <w:t> </w:t>
      </w:r>
      <w:r>
        <w:rPr>
          <w:rFonts w:ascii="Bookman Old Style"/>
          <w:b w:val="0"/>
          <w:sz w:val="16"/>
          <w:vertAlign w:val="baseline"/>
        </w:rPr>
        <w:t>et</w:t>
      </w:r>
      <w:r>
        <w:rPr>
          <w:rFonts w:ascii="Bookman Old Style"/>
          <w:b w:val="0"/>
          <w:spacing w:val="-9"/>
          <w:sz w:val="16"/>
          <w:vertAlign w:val="baseline"/>
        </w:rPr>
        <w:t> </w:t>
      </w:r>
      <w:r>
        <w:rPr>
          <w:rFonts w:ascii="Bookman Old Style"/>
          <w:b w:val="0"/>
          <w:sz w:val="16"/>
          <w:vertAlign w:val="baseline"/>
        </w:rPr>
        <w:t>al.</w:t>
      </w:r>
      <w:r>
        <w:rPr>
          <w:rFonts w:ascii="Bookman Old Style"/>
          <w:b w:val="0"/>
          <w:spacing w:val="4"/>
          <w:sz w:val="16"/>
          <w:vertAlign w:val="baseline"/>
        </w:rPr>
        <w:t> </w:t>
      </w:r>
      <w:r>
        <w:rPr>
          <w:rFonts w:ascii="Bookman Old Style"/>
          <w:b w:val="0"/>
          <w:spacing w:val="-2"/>
          <w:sz w:val="16"/>
          <w:vertAlign w:val="baseline"/>
        </w:rPr>
        <w:t>(2011).</w:t>
      </w:r>
    </w:p>
    <w:p>
      <w:pPr>
        <w:spacing w:before="2"/>
        <w:ind w:left="286" w:right="0" w:firstLine="0"/>
        <w:jc w:val="left"/>
        <w:rPr>
          <w:rFonts w:ascii="Bookman Old Style"/>
          <w:b w:val="0"/>
          <w:sz w:val="16"/>
        </w:rPr>
      </w:pPr>
      <w:r>
        <w:rPr>
          <w:rFonts w:ascii="Bookman Old Style"/>
          <w:b w:val="0"/>
          <w:sz w:val="16"/>
          <w:vertAlign w:val="superscript"/>
        </w:rPr>
        <w:t>64</w:t>
      </w:r>
      <w:r>
        <w:rPr>
          <w:rFonts w:ascii="Bookman Old Style"/>
          <w:b w:val="0"/>
          <w:sz w:val="16"/>
          <w:vertAlign w:val="baseline"/>
        </w:rPr>
        <w:t>Obi</w:t>
      </w:r>
      <w:r>
        <w:rPr>
          <w:rFonts w:ascii="Bookman Old Style"/>
          <w:b w:val="0"/>
          <w:spacing w:val="32"/>
          <w:sz w:val="16"/>
          <w:vertAlign w:val="baseline"/>
        </w:rPr>
        <w:t> </w:t>
      </w:r>
      <w:r>
        <w:rPr>
          <w:rFonts w:ascii="Bookman Old Style"/>
          <w:b w:val="0"/>
          <w:spacing w:val="-2"/>
          <w:sz w:val="16"/>
          <w:vertAlign w:val="baseline"/>
        </w:rPr>
        <w:t>(2010).</w:t>
      </w:r>
    </w:p>
    <w:p>
      <w:pPr>
        <w:spacing w:line="242" w:lineRule="auto" w:before="3"/>
        <w:ind w:left="286" w:right="8850" w:firstLine="0"/>
        <w:jc w:val="left"/>
        <w:rPr>
          <w:rFonts w:ascii="Bookman Old Style"/>
          <w:b w:val="0"/>
          <w:sz w:val="16"/>
        </w:rPr>
      </w:pPr>
      <w:r>
        <w:rPr>
          <w:rFonts w:ascii="Bookman Old Style"/>
          <w:b w:val="0"/>
          <w:sz w:val="16"/>
          <w:vertAlign w:val="superscript"/>
        </w:rPr>
        <w:t>65</w:t>
      </w:r>
      <w:r>
        <w:rPr>
          <w:rFonts w:ascii="Bookman Old Style"/>
          <w:b w:val="0"/>
          <w:sz w:val="16"/>
          <w:vertAlign w:val="baseline"/>
        </w:rPr>
        <w:t>Okonofua (2016). </w:t>
      </w:r>
      <w:r>
        <w:rPr>
          <w:rFonts w:ascii="Bookman Old Style"/>
          <w:b w:val="0"/>
          <w:sz w:val="16"/>
          <w:vertAlign w:val="superscript"/>
        </w:rPr>
        <w:t>66</w:t>
      </w:r>
      <w:r>
        <w:rPr>
          <w:rFonts w:ascii="Bookman Old Style"/>
          <w:b w:val="0"/>
          <w:sz w:val="16"/>
          <w:vertAlign w:val="baseline"/>
        </w:rPr>
        <w:t>(Francis</w:t>
      </w:r>
      <w:r>
        <w:rPr>
          <w:rFonts w:ascii="Bookman Old Style"/>
          <w:b w:val="0"/>
          <w:spacing w:val="-13"/>
          <w:sz w:val="16"/>
          <w:vertAlign w:val="baseline"/>
        </w:rPr>
        <w:t> </w:t>
      </w:r>
      <w:r>
        <w:rPr>
          <w:rFonts w:ascii="Bookman Old Style"/>
          <w:b w:val="0"/>
          <w:sz w:val="16"/>
          <w:vertAlign w:val="baseline"/>
        </w:rPr>
        <w:t>et</w:t>
      </w:r>
      <w:r>
        <w:rPr>
          <w:rFonts w:ascii="Bookman Old Style"/>
          <w:b w:val="0"/>
          <w:spacing w:val="-13"/>
          <w:sz w:val="16"/>
          <w:vertAlign w:val="baseline"/>
        </w:rPr>
        <w:t> </w:t>
      </w:r>
      <w:r>
        <w:rPr>
          <w:rFonts w:ascii="Bookman Old Style"/>
          <w:b w:val="0"/>
          <w:sz w:val="16"/>
          <w:vertAlign w:val="baseline"/>
        </w:rPr>
        <w:t>al.</w:t>
      </w:r>
      <w:r>
        <w:rPr>
          <w:rFonts w:ascii="Bookman Old Style"/>
          <w:b w:val="0"/>
          <w:spacing w:val="-2"/>
          <w:sz w:val="16"/>
          <w:vertAlign w:val="baseline"/>
        </w:rPr>
        <w:t> </w:t>
      </w:r>
      <w:r>
        <w:rPr>
          <w:rFonts w:ascii="Bookman Old Style"/>
          <w:b w:val="0"/>
          <w:sz w:val="16"/>
          <w:vertAlign w:val="baseline"/>
        </w:rPr>
        <w:t>(2011). </w:t>
      </w:r>
      <w:r>
        <w:rPr>
          <w:rFonts w:ascii="Bookman Old Style"/>
          <w:b w:val="0"/>
          <w:sz w:val="16"/>
          <w:vertAlign w:val="superscript"/>
        </w:rPr>
        <w:t>67</w:t>
      </w:r>
      <w:r>
        <w:rPr>
          <w:rFonts w:ascii="Bookman Old Style"/>
          <w:b w:val="0"/>
          <w:sz w:val="16"/>
          <w:vertAlign w:val="baseline"/>
        </w:rPr>
        <w:t>Ikelegbe (2010).</w:t>
      </w:r>
    </w:p>
    <w:p>
      <w:pPr>
        <w:spacing w:before="1"/>
        <w:ind w:left="286" w:right="0" w:firstLine="0"/>
        <w:jc w:val="left"/>
        <w:rPr>
          <w:rFonts w:ascii="Bookman Old Style"/>
          <w:b w:val="0"/>
          <w:sz w:val="16"/>
        </w:rPr>
      </w:pPr>
      <w:r>
        <w:rPr>
          <w:rFonts w:ascii="Bookman Old Style"/>
          <w:b w:val="0"/>
          <w:spacing w:val="-2"/>
          <w:sz w:val="16"/>
          <w:vertAlign w:val="superscript"/>
        </w:rPr>
        <w:t>68</w:t>
      </w:r>
      <w:r>
        <w:rPr>
          <w:rFonts w:ascii="Bookman Old Style"/>
          <w:b w:val="0"/>
          <w:spacing w:val="-2"/>
          <w:sz w:val="16"/>
          <w:vertAlign w:val="baseline"/>
        </w:rPr>
        <w:t>International</w:t>
      </w:r>
      <w:r>
        <w:rPr>
          <w:rFonts w:ascii="Bookman Old Style"/>
          <w:b w:val="0"/>
          <w:spacing w:val="-11"/>
          <w:sz w:val="16"/>
          <w:vertAlign w:val="baseline"/>
        </w:rPr>
        <w:t> </w:t>
      </w:r>
      <w:r>
        <w:rPr>
          <w:rFonts w:ascii="Bookman Old Style"/>
          <w:b w:val="0"/>
          <w:spacing w:val="-2"/>
          <w:sz w:val="16"/>
          <w:vertAlign w:val="baseline"/>
        </w:rPr>
        <w:t>Crisis</w:t>
      </w:r>
      <w:r>
        <w:rPr>
          <w:rFonts w:ascii="Bookman Old Style"/>
          <w:b w:val="0"/>
          <w:spacing w:val="-10"/>
          <w:sz w:val="16"/>
          <w:vertAlign w:val="baseline"/>
        </w:rPr>
        <w:t> </w:t>
      </w:r>
      <w:r>
        <w:rPr>
          <w:rFonts w:ascii="Bookman Old Style"/>
          <w:b w:val="0"/>
          <w:spacing w:val="-2"/>
          <w:sz w:val="16"/>
          <w:vertAlign w:val="baseline"/>
        </w:rPr>
        <w:t>Group</w:t>
      </w:r>
      <w:r>
        <w:rPr>
          <w:rFonts w:ascii="Bookman Old Style"/>
          <w:b w:val="0"/>
          <w:spacing w:val="-10"/>
          <w:sz w:val="16"/>
          <w:vertAlign w:val="baseline"/>
        </w:rPr>
        <w:t> </w:t>
      </w:r>
      <w:r>
        <w:rPr>
          <w:rFonts w:ascii="Bookman Old Style"/>
          <w:b w:val="0"/>
          <w:spacing w:val="-4"/>
          <w:sz w:val="16"/>
          <w:vertAlign w:val="baseline"/>
        </w:rPr>
        <w:t>2016</w:t>
      </w:r>
    </w:p>
    <w:p>
      <w:pPr>
        <w:spacing w:before="2"/>
        <w:ind w:left="286" w:right="0" w:firstLine="0"/>
        <w:jc w:val="left"/>
        <w:rPr>
          <w:rFonts w:ascii="Bookman Old Style"/>
          <w:b w:val="0"/>
          <w:sz w:val="16"/>
        </w:rPr>
      </w:pPr>
      <w:r>
        <w:rPr>
          <w:rFonts w:ascii="Bookman Old Style"/>
          <w:b w:val="0"/>
          <w:sz w:val="16"/>
          <w:vertAlign w:val="superscript"/>
        </w:rPr>
        <w:t>69</w:t>
      </w:r>
      <w:r>
        <w:rPr>
          <w:rFonts w:ascii="Bookman Old Style"/>
          <w:b w:val="0"/>
          <w:sz w:val="16"/>
          <w:vertAlign w:val="baseline"/>
        </w:rPr>
        <w:t>Newsom</w:t>
      </w:r>
      <w:r>
        <w:rPr>
          <w:rFonts w:ascii="Bookman Old Style"/>
          <w:b w:val="0"/>
          <w:spacing w:val="-4"/>
          <w:sz w:val="16"/>
          <w:vertAlign w:val="baseline"/>
        </w:rPr>
        <w:t> </w:t>
      </w:r>
      <w:r>
        <w:rPr>
          <w:rFonts w:ascii="Bookman Old Style"/>
          <w:b w:val="0"/>
          <w:spacing w:val="-2"/>
          <w:sz w:val="16"/>
          <w:vertAlign w:val="baseline"/>
        </w:rPr>
        <w:t>(2011).</w:t>
      </w:r>
    </w:p>
    <w:p>
      <w:pPr>
        <w:spacing w:before="3"/>
        <w:ind w:left="286" w:right="0" w:firstLine="0"/>
        <w:jc w:val="left"/>
        <w:rPr>
          <w:rFonts w:ascii="Bookman Old Style"/>
          <w:b w:val="0"/>
          <w:sz w:val="16"/>
        </w:rPr>
      </w:pPr>
      <w:r>
        <w:rPr>
          <w:rFonts w:ascii="Bookman Old Style"/>
          <w:b w:val="0"/>
          <w:sz w:val="16"/>
          <w:vertAlign w:val="superscript"/>
        </w:rPr>
        <w:t>70</w:t>
      </w:r>
      <w:r>
        <w:rPr>
          <w:rFonts w:ascii="Bookman Old Style"/>
          <w:b w:val="0"/>
          <w:sz w:val="16"/>
          <w:vertAlign w:val="baseline"/>
        </w:rPr>
        <w:t>Watts</w:t>
      </w:r>
      <w:r>
        <w:rPr>
          <w:rFonts w:ascii="Bookman Old Style"/>
          <w:b w:val="0"/>
          <w:spacing w:val="-5"/>
          <w:sz w:val="16"/>
          <w:vertAlign w:val="baseline"/>
        </w:rPr>
        <w:t> </w:t>
      </w:r>
      <w:r>
        <w:rPr>
          <w:rFonts w:ascii="Bookman Old Style"/>
          <w:b w:val="0"/>
          <w:sz w:val="16"/>
          <w:vertAlign w:val="baseline"/>
        </w:rPr>
        <w:t>and</w:t>
      </w:r>
      <w:r>
        <w:rPr>
          <w:rFonts w:ascii="Bookman Old Style"/>
          <w:b w:val="0"/>
          <w:spacing w:val="-5"/>
          <w:sz w:val="16"/>
          <w:vertAlign w:val="baseline"/>
        </w:rPr>
        <w:t> </w:t>
      </w:r>
      <w:r>
        <w:rPr>
          <w:rFonts w:ascii="Bookman Old Style"/>
          <w:b w:val="0"/>
          <w:sz w:val="16"/>
          <w:vertAlign w:val="baseline"/>
        </w:rPr>
        <w:t>Ibada</w:t>
      </w:r>
      <w:r>
        <w:rPr>
          <w:rFonts w:ascii="Bookman Old Style"/>
          <w:b w:val="0"/>
          <w:spacing w:val="-4"/>
          <w:sz w:val="16"/>
          <w:vertAlign w:val="baseline"/>
        </w:rPr>
        <w:t> </w:t>
      </w:r>
      <w:r>
        <w:rPr>
          <w:rFonts w:ascii="Bookman Old Style"/>
          <w:b w:val="0"/>
          <w:spacing w:val="-2"/>
          <w:sz w:val="16"/>
          <w:vertAlign w:val="baseline"/>
        </w:rPr>
        <w:t>(2011).</w:t>
      </w:r>
    </w:p>
    <w:p>
      <w:pPr>
        <w:spacing w:after="0"/>
        <w:jc w:val="left"/>
        <w:rPr>
          <w:rFonts w:ascii="Bookman Old Style"/>
          <w:sz w:val="16"/>
        </w:rPr>
        <w:sectPr>
          <w:pgSz w:w="12240" w:h="15840"/>
          <w:pgMar w:header="0" w:footer="1252" w:top="1100" w:bottom="1440" w:left="1280" w:right="40"/>
        </w:sectPr>
      </w:pPr>
    </w:p>
    <w:p>
      <w:pPr>
        <w:pStyle w:val="BodyText"/>
        <w:spacing w:line="309" w:lineRule="auto" w:before="49"/>
        <w:ind w:left="137" w:right="1793"/>
        <w:jc w:val="both"/>
        <w:rPr>
          <w:rFonts w:ascii="Century Gothic"/>
        </w:rPr>
      </w:pPr>
      <w:r>
        <w:rPr/>
        <w:t>decline,</w:t>
      </w:r>
      <w:r>
        <w:rPr>
          <w:spacing w:val="-5"/>
        </w:rPr>
        <w:t> </w:t>
      </w:r>
      <w:r>
        <w:rPr/>
        <w:t>hitting</w:t>
      </w:r>
      <w:r>
        <w:rPr>
          <w:spacing w:val="-6"/>
        </w:rPr>
        <w:t> </w:t>
      </w:r>
      <w:r>
        <w:rPr/>
        <w:t>ten-year</w:t>
      </w:r>
      <w:r>
        <w:rPr>
          <w:spacing w:val="-6"/>
        </w:rPr>
        <w:t> </w:t>
      </w:r>
      <w:r>
        <w:rPr/>
        <w:t>lows</w:t>
      </w:r>
      <w:r>
        <w:rPr>
          <w:spacing w:val="-6"/>
        </w:rPr>
        <w:t> </w:t>
      </w:r>
      <w:r>
        <w:rPr/>
        <w:t>by</w:t>
      </w:r>
      <w:r>
        <w:rPr>
          <w:spacing w:val="-6"/>
        </w:rPr>
        <w:t> </w:t>
      </w:r>
      <w:r>
        <w:rPr/>
        <w:t>2016.</w:t>
      </w:r>
      <w:r>
        <w:rPr>
          <w:spacing w:val="11"/>
        </w:rPr>
        <w:t> </w:t>
      </w:r>
      <w:r>
        <w:rPr/>
        <w:t>By</w:t>
      </w:r>
      <w:r>
        <w:rPr>
          <w:spacing w:val="-6"/>
        </w:rPr>
        <w:t> </w:t>
      </w:r>
      <w:r>
        <w:rPr/>
        <w:t>2015</w:t>
      </w:r>
      <w:r>
        <w:rPr>
          <w:spacing w:val="-6"/>
        </w:rPr>
        <w:t> </w:t>
      </w:r>
      <w:r>
        <w:rPr/>
        <w:t>the</w:t>
      </w:r>
      <w:r>
        <w:rPr>
          <w:spacing w:val="-6"/>
        </w:rPr>
        <w:t> </w:t>
      </w:r>
      <w:r>
        <w:rPr/>
        <w:t>effect</w:t>
      </w:r>
      <w:r>
        <w:rPr>
          <w:spacing w:val="-6"/>
        </w:rPr>
        <w:t> </w:t>
      </w:r>
      <w:r>
        <w:rPr/>
        <w:t>on</w:t>
      </w:r>
      <w:r>
        <w:rPr>
          <w:spacing w:val="-6"/>
        </w:rPr>
        <w:t> </w:t>
      </w:r>
      <w:r>
        <w:rPr/>
        <w:t>state</w:t>
      </w:r>
      <w:r>
        <w:rPr>
          <w:spacing w:val="-6"/>
        </w:rPr>
        <w:t> </w:t>
      </w:r>
      <w:r>
        <w:rPr/>
        <w:t>revenue</w:t>
      </w:r>
      <w:r>
        <w:rPr>
          <w:spacing w:val="-6"/>
        </w:rPr>
        <w:t> </w:t>
      </w:r>
      <w:r>
        <w:rPr/>
        <w:t>in</w:t>
      </w:r>
      <w:r>
        <w:rPr>
          <w:spacing w:val="-6"/>
        </w:rPr>
        <w:t> </w:t>
      </w:r>
      <w:r>
        <w:rPr/>
        <w:t>Nigeria</w:t>
      </w:r>
      <w:r>
        <w:rPr>
          <w:spacing w:val="-6"/>
        </w:rPr>
        <w:t> </w:t>
      </w:r>
      <w:r>
        <w:rPr/>
        <w:t>was</w:t>
      </w:r>
      <w:r>
        <w:rPr>
          <w:spacing w:val="-6"/>
        </w:rPr>
        <w:t> </w:t>
      </w:r>
      <w:r>
        <w:rPr/>
        <w:t>so</w:t>
      </w:r>
      <w:r>
        <w:rPr>
          <w:spacing w:val="-6"/>
        </w:rPr>
        <w:t> </w:t>
      </w:r>
      <w:r>
        <w:rPr/>
        <w:t>severe</w:t>
      </w:r>
      <w:r>
        <w:rPr>
          <w:spacing w:val="-6"/>
        </w:rPr>
        <w:t> </w:t>
      </w:r>
      <w:r>
        <w:rPr/>
        <w:t>that the government was forced to make cuts to military and social spending.</w:t>
      </w:r>
      <w:r>
        <w:rPr>
          <w:spacing w:val="29"/>
        </w:rPr>
        <w:t> </w:t>
      </w:r>
      <w:r>
        <w:rPr/>
        <w:t>Funding for the Niger Delta Conflict</w:t>
      </w:r>
      <w:r>
        <w:rPr>
          <w:spacing w:val="-8"/>
        </w:rPr>
        <w:t> </w:t>
      </w:r>
      <w:r>
        <w:rPr/>
        <w:t>amnesty</w:t>
      </w:r>
      <w:r>
        <w:rPr>
          <w:spacing w:val="-8"/>
        </w:rPr>
        <w:t> </w:t>
      </w:r>
      <w:r>
        <w:rPr/>
        <w:t>program</w:t>
      </w:r>
      <w:r>
        <w:rPr>
          <w:spacing w:val="-8"/>
        </w:rPr>
        <w:t> </w:t>
      </w:r>
      <w:r>
        <w:rPr/>
        <w:t>was</w:t>
      </w:r>
      <w:r>
        <w:rPr>
          <w:spacing w:val="-8"/>
        </w:rPr>
        <w:t> </w:t>
      </w:r>
      <w:r>
        <w:rPr/>
        <w:t>reduced</w:t>
      </w:r>
      <w:r>
        <w:rPr>
          <w:spacing w:val="-8"/>
        </w:rPr>
        <w:t> </w:t>
      </w:r>
      <w:r>
        <w:rPr/>
        <w:t>in</w:t>
      </w:r>
      <w:r>
        <w:rPr>
          <w:spacing w:val="-8"/>
        </w:rPr>
        <w:t> </w:t>
      </w:r>
      <w:r>
        <w:rPr/>
        <w:t>the</w:t>
      </w:r>
      <w:r>
        <w:rPr>
          <w:spacing w:val="-8"/>
        </w:rPr>
        <w:t> </w:t>
      </w:r>
      <w:r>
        <w:rPr/>
        <w:t>national</w:t>
      </w:r>
      <w:r>
        <w:rPr>
          <w:spacing w:val="-8"/>
        </w:rPr>
        <w:t> </w:t>
      </w:r>
      <w:r>
        <w:rPr/>
        <w:t>budget</w:t>
      </w:r>
      <w:r>
        <w:rPr>
          <w:spacing w:val="-8"/>
        </w:rPr>
        <w:t> </w:t>
      </w:r>
      <w:r>
        <w:rPr/>
        <w:t>making</w:t>
      </w:r>
      <w:r>
        <w:rPr>
          <w:spacing w:val="-8"/>
        </w:rPr>
        <w:t> </w:t>
      </w:r>
      <w:r>
        <w:rPr/>
        <w:t>it</w:t>
      </w:r>
      <w:r>
        <w:rPr>
          <w:spacing w:val="-8"/>
        </w:rPr>
        <w:t> </w:t>
      </w:r>
      <w:r>
        <w:rPr/>
        <w:t>difficult</w:t>
      </w:r>
      <w:r>
        <w:rPr>
          <w:spacing w:val="-8"/>
        </w:rPr>
        <w:t> </w:t>
      </w:r>
      <w:r>
        <w:rPr/>
        <w:t>to</w:t>
      </w:r>
      <w:r>
        <w:rPr>
          <w:spacing w:val="-8"/>
        </w:rPr>
        <w:t> </w:t>
      </w:r>
      <w:r>
        <w:rPr/>
        <w:t>pay</w:t>
      </w:r>
      <w:r>
        <w:rPr>
          <w:spacing w:val="-8"/>
        </w:rPr>
        <w:t> </w:t>
      </w:r>
      <w:r>
        <w:rPr/>
        <w:t>for</w:t>
      </w:r>
      <w:r>
        <w:rPr>
          <w:spacing w:val="-8"/>
        </w:rPr>
        <w:t> </w:t>
      </w:r>
      <w:r>
        <w:rPr/>
        <w:t>the</w:t>
      </w:r>
      <w:r>
        <w:rPr>
          <w:spacing w:val="-8"/>
        </w:rPr>
        <w:t> </w:t>
      </w:r>
      <w:r>
        <w:rPr/>
        <w:t>monthly stipends the program is meant to support.</w:t>
      </w:r>
      <w:r>
        <w:rPr>
          <w:rFonts w:ascii="Century Gothic"/>
          <w:vertAlign w:val="superscript"/>
        </w:rPr>
        <w:t>71</w:t>
      </w:r>
    </w:p>
    <w:p>
      <w:pPr>
        <w:pStyle w:val="BodyText"/>
        <w:spacing w:line="312" w:lineRule="auto" w:before="142"/>
        <w:ind w:left="137" w:right="1792" w:firstLine="298"/>
        <w:jc w:val="both"/>
      </w:pPr>
      <w:r>
        <w:rPr>
          <w:spacing w:val="-4"/>
        </w:rPr>
        <w:t>Violence has since increased in the region.</w:t>
      </w:r>
      <w:r>
        <w:rPr>
          <w:spacing w:val="29"/>
        </w:rPr>
        <w:t> </w:t>
      </w:r>
      <w:r>
        <w:rPr>
          <w:spacing w:val="-4"/>
        </w:rPr>
        <w:t>The decline of the military offensives and amnesty program </w:t>
      </w:r>
      <w:r>
        <w:rPr>
          <w:spacing w:val="-2"/>
        </w:rPr>
        <w:t>has</w:t>
      </w:r>
      <w:r>
        <w:rPr>
          <w:spacing w:val="-4"/>
        </w:rPr>
        <w:t> </w:t>
      </w:r>
      <w:r>
        <w:rPr>
          <w:spacing w:val="-2"/>
        </w:rPr>
        <w:t>also</w:t>
      </w:r>
      <w:r>
        <w:rPr>
          <w:spacing w:val="-5"/>
        </w:rPr>
        <w:t> </w:t>
      </w:r>
      <w:r>
        <w:rPr>
          <w:spacing w:val="-2"/>
        </w:rPr>
        <w:t>seen</w:t>
      </w:r>
      <w:r>
        <w:rPr>
          <w:spacing w:val="-4"/>
        </w:rPr>
        <w:t> </w:t>
      </w:r>
      <w:r>
        <w:rPr>
          <w:spacing w:val="-2"/>
        </w:rPr>
        <w:t>the</w:t>
      </w:r>
      <w:r>
        <w:rPr>
          <w:spacing w:val="-4"/>
        </w:rPr>
        <w:t> </w:t>
      </w:r>
      <w:r>
        <w:rPr>
          <w:spacing w:val="-2"/>
        </w:rPr>
        <w:t>rise</w:t>
      </w:r>
      <w:r>
        <w:rPr>
          <w:spacing w:val="-4"/>
        </w:rPr>
        <w:t> </w:t>
      </w:r>
      <w:r>
        <w:rPr>
          <w:spacing w:val="-2"/>
        </w:rPr>
        <w:t>of</w:t>
      </w:r>
      <w:r>
        <w:rPr>
          <w:spacing w:val="-5"/>
        </w:rPr>
        <w:t> </w:t>
      </w:r>
      <w:r>
        <w:rPr>
          <w:spacing w:val="-2"/>
        </w:rPr>
        <w:t>new</w:t>
      </w:r>
      <w:r>
        <w:rPr>
          <w:spacing w:val="-4"/>
        </w:rPr>
        <w:t> </w:t>
      </w:r>
      <w:r>
        <w:rPr>
          <w:spacing w:val="-2"/>
        </w:rPr>
        <w:t>militant</w:t>
      </w:r>
      <w:r>
        <w:rPr>
          <w:spacing w:val="-4"/>
        </w:rPr>
        <w:t> </w:t>
      </w:r>
      <w:r>
        <w:rPr>
          <w:spacing w:val="-2"/>
        </w:rPr>
        <w:t>organizations</w:t>
      </w:r>
      <w:r>
        <w:rPr>
          <w:spacing w:val="-5"/>
        </w:rPr>
        <w:t> </w:t>
      </w:r>
      <w:r>
        <w:rPr>
          <w:spacing w:val="-2"/>
        </w:rPr>
        <w:t>in</w:t>
      </w:r>
      <w:r>
        <w:rPr>
          <w:spacing w:val="-4"/>
        </w:rPr>
        <w:t> </w:t>
      </w:r>
      <w:r>
        <w:rPr>
          <w:spacing w:val="-2"/>
        </w:rPr>
        <w:t>region</w:t>
      </w:r>
      <w:r>
        <w:rPr>
          <w:spacing w:val="-4"/>
        </w:rPr>
        <w:t> </w:t>
      </w:r>
      <w:r>
        <w:rPr>
          <w:spacing w:val="-2"/>
        </w:rPr>
        <w:t>such</w:t>
      </w:r>
      <w:r>
        <w:rPr>
          <w:spacing w:val="-4"/>
        </w:rPr>
        <w:t> </w:t>
      </w:r>
      <w:r>
        <w:rPr>
          <w:spacing w:val="-2"/>
        </w:rPr>
        <w:t>as</w:t>
      </w:r>
      <w:r>
        <w:rPr>
          <w:spacing w:val="-5"/>
        </w:rPr>
        <w:t> </w:t>
      </w:r>
      <w:r>
        <w:rPr>
          <w:spacing w:val="-2"/>
        </w:rPr>
        <w:t>the</w:t>
      </w:r>
      <w:r>
        <w:rPr>
          <w:spacing w:val="-4"/>
        </w:rPr>
        <w:t> </w:t>
      </w:r>
      <w:r>
        <w:rPr>
          <w:spacing w:val="-2"/>
        </w:rPr>
        <w:t>Niger</w:t>
      </w:r>
      <w:r>
        <w:rPr>
          <w:spacing w:val="-5"/>
        </w:rPr>
        <w:t> </w:t>
      </w:r>
      <w:r>
        <w:rPr>
          <w:spacing w:val="-2"/>
        </w:rPr>
        <w:t>Delta</w:t>
      </w:r>
      <w:r>
        <w:rPr>
          <w:spacing w:val="-4"/>
        </w:rPr>
        <w:t> </w:t>
      </w:r>
      <w:r>
        <w:rPr>
          <w:spacing w:val="-2"/>
        </w:rPr>
        <w:t>Avengers,</w:t>
      </w:r>
      <w:r>
        <w:rPr>
          <w:spacing w:val="-3"/>
        </w:rPr>
        <w:t> </w:t>
      </w:r>
      <w:r>
        <w:rPr>
          <w:spacing w:val="-2"/>
        </w:rPr>
        <w:t>the</w:t>
      </w:r>
      <w:r>
        <w:rPr>
          <w:spacing w:val="-4"/>
        </w:rPr>
        <w:t> </w:t>
      </w:r>
      <w:r>
        <w:rPr>
          <w:spacing w:val="-2"/>
        </w:rPr>
        <w:t>Niger </w:t>
      </w:r>
      <w:r>
        <w:rPr/>
        <w:t>Delta</w:t>
      </w:r>
      <w:r>
        <w:rPr>
          <w:spacing w:val="-2"/>
        </w:rPr>
        <w:t> </w:t>
      </w:r>
      <w:r>
        <w:rPr/>
        <w:t>Red</w:t>
      </w:r>
      <w:r>
        <w:rPr>
          <w:spacing w:val="-2"/>
        </w:rPr>
        <w:t> </w:t>
      </w:r>
      <w:r>
        <w:rPr/>
        <w:t>Squad</w:t>
      </w:r>
      <w:r>
        <w:rPr>
          <w:spacing w:val="-2"/>
        </w:rPr>
        <w:t> </w:t>
      </w:r>
      <w:r>
        <w:rPr/>
        <w:t>and</w:t>
      </w:r>
      <w:r>
        <w:rPr>
          <w:spacing w:val="-2"/>
        </w:rPr>
        <w:t> </w:t>
      </w:r>
      <w:r>
        <w:rPr/>
        <w:t>others.</w:t>
      </w:r>
      <w:r>
        <w:rPr>
          <w:rFonts w:ascii="Century Gothic"/>
          <w:vertAlign w:val="superscript"/>
        </w:rPr>
        <w:t>72</w:t>
      </w:r>
      <w:r>
        <w:rPr>
          <w:rFonts w:ascii="Century Gothic"/>
          <w:vertAlign w:val="baseline"/>
        </w:rPr>
        <w:t> </w:t>
      </w:r>
      <w:r>
        <w:rPr>
          <w:vertAlign w:val="baseline"/>
        </w:rPr>
        <w:t>In</w:t>
      </w:r>
      <w:r>
        <w:rPr>
          <w:spacing w:val="-2"/>
          <w:vertAlign w:val="baseline"/>
        </w:rPr>
        <w:t> </w:t>
      </w:r>
      <w:r>
        <w:rPr>
          <w:vertAlign w:val="baseline"/>
        </w:rPr>
        <w:t>sum,</w:t>
      </w:r>
      <w:r>
        <w:rPr>
          <w:spacing w:val="-1"/>
          <w:vertAlign w:val="baseline"/>
        </w:rPr>
        <w:t> </w:t>
      </w:r>
      <w:r>
        <w:rPr>
          <w:vertAlign w:val="baseline"/>
        </w:rPr>
        <w:t>oil</w:t>
      </w:r>
      <w:r>
        <w:rPr>
          <w:spacing w:val="-2"/>
          <w:vertAlign w:val="baseline"/>
        </w:rPr>
        <w:t> </w:t>
      </w:r>
      <w:r>
        <w:rPr>
          <w:vertAlign w:val="baseline"/>
        </w:rPr>
        <w:t>revenue</w:t>
      </w:r>
      <w:r>
        <w:rPr>
          <w:spacing w:val="-2"/>
          <w:vertAlign w:val="baseline"/>
        </w:rPr>
        <w:t> </w:t>
      </w:r>
      <w:r>
        <w:rPr>
          <w:vertAlign w:val="baseline"/>
        </w:rPr>
        <w:t>has</w:t>
      </w:r>
      <w:r>
        <w:rPr>
          <w:spacing w:val="-2"/>
          <w:vertAlign w:val="baseline"/>
        </w:rPr>
        <w:t> </w:t>
      </w:r>
      <w:r>
        <w:rPr>
          <w:vertAlign w:val="baseline"/>
        </w:rPr>
        <w:t>played</w:t>
      </w:r>
      <w:r>
        <w:rPr>
          <w:spacing w:val="-2"/>
          <w:vertAlign w:val="baseline"/>
        </w:rPr>
        <w:t> </w:t>
      </w:r>
      <w:r>
        <w:rPr>
          <w:vertAlign w:val="baseline"/>
        </w:rPr>
        <w:t>a</w:t>
      </w:r>
      <w:r>
        <w:rPr>
          <w:spacing w:val="-2"/>
          <w:vertAlign w:val="baseline"/>
        </w:rPr>
        <w:t> </w:t>
      </w:r>
      <w:r>
        <w:rPr>
          <w:vertAlign w:val="baseline"/>
        </w:rPr>
        <w:t>key</w:t>
      </w:r>
      <w:r>
        <w:rPr>
          <w:spacing w:val="-2"/>
          <w:vertAlign w:val="baseline"/>
        </w:rPr>
        <w:t> </w:t>
      </w:r>
      <w:r>
        <w:rPr>
          <w:vertAlign w:val="baseline"/>
        </w:rPr>
        <w:t>role</w:t>
      </w:r>
      <w:r>
        <w:rPr>
          <w:spacing w:val="-2"/>
          <w:vertAlign w:val="baseline"/>
        </w:rPr>
        <w:t> </w:t>
      </w:r>
      <w:r>
        <w:rPr>
          <w:vertAlign w:val="baseline"/>
        </w:rPr>
        <w:t>in</w:t>
      </w:r>
      <w:r>
        <w:rPr>
          <w:spacing w:val="-2"/>
          <w:vertAlign w:val="baseline"/>
        </w:rPr>
        <w:t> </w:t>
      </w:r>
      <w:r>
        <w:rPr>
          <w:vertAlign w:val="baseline"/>
        </w:rPr>
        <w:t>funding</w:t>
      </w:r>
      <w:r>
        <w:rPr>
          <w:spacing w:val="-2"/>
          <w:vertAlign w:val="baseline"/>
        </w:rPr>
        <w:t> </w:t>
      </w:r>
      <w:r>
        <w:rPr>
          <w:vertAlign w:val="baseline"/>
        </w:rPr>
        <w:t>counterinsurgency </w:t>
      </w:r>
      <w:r>
        <w:rPr>
          <w:spacing w:val="-2"/>
          <w:vertAlign w:val="baseline"/>
        </w:rPr>
        <w:t>efforts</w:t>
      </w:r>
      <w:r>
        <w:rPr>
          <w:spacing w:val="-5"/>
          <w:vertAlign w:val="baseline"/>
        </w:rPr>
        <w:t> </w:t>
      </w:r>
      <w:r>
        <w:rPr>
          <w:spacing w:val="-2"/>
          <w:vertAlign w:val="baseline"/>
        </w:rPr>
        <w:t>in</w:t>
      </w:r>
      <w:r>
        <w:rPr>
          <w:spacing w:val="-6"/>
          <w:vertAlign w:val="baseline"/>
        </w:rPr>
        <w:t> </w:t>
      </w:r>
      <w:r>
        <w:rPr>
          <w:spacing w:val="-2"/>
          <w:vertAlign w:val="baseline"/>
        </w:rPr>
        <w:t>Nigeria,</w:t>
      </w:r>
      <w:r>
        <w:rPr>
          <w:spacing w:val="-4"/>
          <w:vertAlign w:val="baseline"/>
        </w:rPr>
        <w:t> </w:t>
      </w:r>
      <w:r>
        <w:rPr>
          <w:spacing w:val="-2"/>
          <w:vertAlign w:val="baseline"/>
        </w:rPr>
        <w:t>both</w:t>
      </w:r>
      <w:r>
        <w:rPr>
          <w:spacing w:val="-6"/>
          <w:vertAlign w:val="baseline"/>
        </w:rPr>
        <w:t> </w:t>
      </w:r>
      <w:r>
        <w:rPr>
          <w:spacing w:val="-2"/>
          <w:vertAlign w:val="baseline"/>
        </w:rPr>
        <w:t>through</w:t>
      </w:r>
      <w:r>
        <w:rPr>
          <w:spacing w:val="-6"/>
          <w:vertAlign w:val="baseline"/>
        </w:rPr>
        <w:t> </w:t>
      </w:r>
      <w:r>
        <w:rPr>
          <w:spacing w:val="-2"/>
          <w:vertAlign w:val="baseline"/>
        </w:rPr>
        <w:t>military</w:t>
      </w:r>
      <w:r>
        <w:rPr>
          <w:spacing w:val="-6"/>
          <w:vertAlign w:val="baseline"/>
        </w:rPr>
        <w:t> </w:t>
      </w:r>
      <w:r>
        <w:rPr>
          <w:spacing w:val="-2"/>
          <w:vertAlign w:val="baseline"/>
        </w:rPr>
        <w:t>measures</w:t>
      </w:r>
      <w:r>
        <w:rPr>
          <w:spacing w:val="-6"/>
          <w:vertAlign w:val="baseline"/>
        </w:rPr>
        <w:t> </w:t>
      </w:r>
      <w:r>
        <w:rPr>
          <w:spacing w:val="-2"/>
          <w:vertAlign w:val="baseline"/>
        </w:rPr>
        <w:t>and</w:t>
      </w:r>
      <w:r>
        <w:rPr>
          <w:spacing w:val="-6"/>
          <w:vertAlign w:val="baseline"/>
        </w:rPr>
        <w:t> </w:t>
      </w:r>
      <w:r>
        <w:rPr>
          <w:spacing w:val="-2"/>
          <w:vertAlign w:val="baseline"/>
        </w:rPr>
        <w:t>social</w:t>
      </w:r>
      <w:r>
        <w:rPr>
          <w:spacing w:val="-5"/>
          <w:vertAlign w:val="baseline"/>
        </w:rPr>
        <w:t> </w:t>
      </w:r>
      <w:r>
        <w:rPr>
          <w:spacing w:val="-2"/>
          <w:vertAlign w:val="baseline"/>
        </w:rPr>
        <w:t>programs.</w:t>
      </w:r>
      <w:r>
        <w:rPr>
          <w:spacing w:val="17"/>
          <w:vertAlign w:val="baseline"/>
        </w:rPr>
        <w:t> </w:t>
      </w:r>
      <w:r>
        <w:rPr>
          <w:spacing w:val="-2"/>
          <w:vertAlign w:val="baseline"/>
        </w:rPr>
        <w:t>When</w:t>
      </w:r>
      <w:r>
        <w:rPr>
          <w:spacing w:val="-6"/>
          <w:vertAlign w:val="baseline"/>
        </w:rPr>
        <w:t> </w:t>
      </w:r>
      <w:r>
        <w:rPr>
          <w:spacing w:val="-2"/>
          <w:vertAlign w:val="baseline"/>
        </w:rPr>
        <w:t>this</w:t>
      </w:r>
      <w:r>
        <w:rPr>
          <w:spacing w:val="-5"/>
          <w:vertAlign w:val="baseline"/>
        </w:rPr>
        <w:t> </w:t>
      </w:r>
      <w:r>
        <w:rPr>
          <w:spacing w:val="-2"/>
          <w:vertAlign w:val="baseline"/>
        </w:rPr>
        <w:t>funding</w:t>
      </w:r>
      <w:r>
        <w:rPr>
          <w:spacing w:val="-5"/>
          <w:vertAlign w:val="baseline"/>
        </w:rPr>
        <w:t> </w:t>
      </w:r>
      <w:r>
        <w:rPr>
          <w:spacing w:val="-2"/>
          <w:vertAlign w:val="baseline"/>
        </w:rPr>
        <w:t>was</w:t>
      </w:r>
      <w:r>
        <w:rPr>
          <w:spacing w:val="-6"/>
          <w:vertAlign w:val="baseline"/>
        </w:rPr>
        <w:t> </w:t>
      </w:r>
      <w:r>
        <w:rPr>
          <w:spacing w:val="-2"/>
          <w:vertAlign w:val="baseline"/>
        </w:rPr>
        <w:t>reduced, </w:t>
      </w:r>
      <w:r>
        <w:rPr>
          <w:vertAlign w:val="baseline"/>
        </w:rPr>
        <w:t>violence</w:t>
      </w:r>
      <w:r>
        <w:rPr>
          <w:spacing w:val="-11"/>
          <w:vertAlign w:val="baseline"/>
        </w:rPr>
        <w:t> </w:t>
      </w:r>
      <w:r>
        <w:rPr>
          <w:vertAlign w:val="baseline"/>
        </w:rPr>
        <w:t>increased.</w:t>
      </w:r>
      <w:r>
        <w:rPr>
          <w:spacing w:val="5"/>
          <w:vertAlign w:val="baseline"/>
        </w:rPr>
        <w:t> </w:t>
      </w:r>
      <w:r>
        <w:rPr>
          <w:vertAlign w:val="baseline"/>
        </w:rPr>
        <w:t>However,</w:t>
      </w:r>
      <w:r>
        <w:rPr>
          <w:spacing w:val="-11"/>
          <w:vertAlign w:val="baseline"/>
        </w:rPr>
        <w:t> </w:t>
      </w:r>
      <w:r>
        <w:rPr>
          <w:vertAlign w:val="baseline"/>
        </w:rPr>
        <w:t>this</w:t>
      </w:r>
      <w:r>
        <w:rPr>
          <w:spacing w:val="-11"/>
          <w:vertAlign w:val="baseline"/>
        </w:rPr>
        <w:t> </w:t>
      </w:r>
      <w:r>
        <w:rPr>
          <w:vertAlign w:val="baseline"/>
        </w:rPr>
        <w:t>case</w:t>
      </w:r>
      <w:r>
        <w:rPr>
          <w:spacing w:val="-11"/>
          <w:vertAlign w:val="baseline"/>
        </w:rPr>
        <w:t> </w:t>
      </w:r>
      <w:r>
        <w:rPr>
          <w:vertAlign w:val="baseline"/>
        </w:rPr>
        <w:t>is</w:t>
      </w:r>
      <w:r>
        <w:rPr>
          <w:spacing w:val="-11"/>
          <w:vertAlign w:val="baseline"/>
        </w:rPr>
        <w:t> </w:t>
      </w:r>
      <w:r>
        <w:rPr>
          <w:vertAlign w:val="baseline"/>
        </w:rPr>
        <w:t>also</w:t>
      </w:r>
      <w:r>
        <w:rPr>
          <w:spacing w:val="-11"/>
          <w:vertAlign w:val="baseline"/>
        </w:rPr>
        <w:t> </w:t>
      </w:r>
      <w:r>
        <w:rPr>
          <w:vertAlign w:val="baseline"/>
        </w:rPr>
        <w:t>suggestive</w:t>
      </w:r>
      <w:r>
        <w:rPr>
          <w:spacing w:val="-11"/>
          <w:vertAlign w:val="baseline"/>
        </w:rPr>
        <w:t> </w:t>
      </w:r>
      <w:r>
        <w:rPr>
          <w:vertAlign w:val="baseline"/>
        </w:rPr>
        <w:t>that</w:t>
      </w:r>
      <w:r>
        <w:rPr>
          <w:spacing w:val="-11"/>
          <w:vertAlign w:val="baseline"/>
        </w:rPr>
        <w:t> </w:t>
      </w:r>
      <w:r>
        <w:rPr>
          <w:vertAlign w:val="baseline"/>
        </w:rPr>
        <w:t>military</w:t>
      </w:r>
      <w:r>
        <w:rPr>
          <w:spacing w:val="-11"/>
          <w:vertAlign w:val="baseline"/>
        </w:rPr>
        <w:t> </w:t>
      </w:r>
      <w:r>
        <w:rPr>
          <w:vertAlign w:val="baseline"/>
        </w:rPr>
        <w:t>expenditures</w:t>
      </w:r>
      <w:r>
        <w:rPr>
          <w:spacing w:val="-11"/>
          <w:vertAlign w:val="baseline"/>
        </w:rPr>
        <w:t> </w:t>
      </w:r>
      <w:r>
        <w:rPr>
          <w:vertAlign w:val="baseline"/>
        </w:rPr>
        <w:t>are</w:t>
      </w:r>
      <w:r>
        <w:rPr>
          <w:spacing w:val="-11"/>
          <w:vertAlign w:val="baseline"/>
        </w:rPr>
        <w:t> </w:t>
      </w:r>
      <w:r>
        <w:rPr>
          <w:vertAlign w:val="baseline"/>
        </w:rPr>
        <w:t>likely</w:t>
      </w:r>
      <w:r>
        <w:rPr>
          <w:spacing w:val="-11"/>
          <w:vertAlign w:val="baseline"/>
        </w:rPr>
        <w:t> </w:t>
      </w:r>
      <w:r>
        <w:rPr>
          <w:vertAlign w:val="baseline"/>
        </w:rPr>
        <w:t>to</w:t>
      </w:r>
      <w:r>
        <w:rPr>
          <w:spacing w:val="-11"/>
          <w:vertAlign w:val="baseline"/>
        </w:rPr>
        <w:t> </w:t>
      </w:r>
      <w:r>
        <w:rPr>
          <w:vertAlign w:val="baseline"/>
        </w:rPr>
        <w:t>be</w:t>
      </w:r>
      <w:r>
        <w:rPr>
          <w:spacing w:val="-11"/>
          <w:vertAlign w:val="baseline"/>
        </w:rPr>
        <w:t> </w:t>
      </w:r>
      <w:r>
        <w:rPr>
          <w:vertAlign w:val="baseline"/>
        </w:rPr>
        <w:t>most effective</w:t>
      </w:r>
      <w:r>
        <w:rPr>
          <w:spacing w:val="-1"/>
          <w:vertAlign w:val="baseline"/>
        </w:rPr>
        <w:t> </w:t>
      </w:r>
      <w:r>
        <w:rPr>
          <w:vertAlign w:val="baseline"/>
        </w:rPr>
        <w:t>at</w:t>
      </w:r>
      <w:r>
        <w:rPr>
          <w:spacing w:val="-1"/>
          <w:vertAlign w:val="baseline"/>
        </w:rPr>
        <w:t> </w:t>
      </w:r>
      <w:r>
        <w:rPr>
          <w:vertAlign w:val="baseline"/>
        </w:rPr>
        <w:t>reducing</w:t>
      </w:r>
      <w:r>
        <w:rPr>
          <w:spacing w:val="-1"/>
          <w:vertAlign w:val="baseline"/>
        </w:rPr>
        <w:t> </w:t>
      </w:r>
      <w:r>
        <w:rPr>
          <w:vertAlign w:val="baseline"/>
        </w:rPr>
        <w:t>conflict</w:t>
      </w:r>
      <w:r>
        <w:rPr>
          <w:spacing w:val="-1"/>
          <w:vertAlign w:val="baseline"/>
        </w:rPr>
        <w:t> </w:t>
      </w:r>
      <w:r>
        <w:rPr>
          <w:vertAlign w:val="baseline"/>
        </w:rPr>
        <w:t>when</w:t>
      </w:r>
      <w:r>
        <w:rPr>
          <w:spacing w:val="-1"/>
          <w:vertAlign w:val="baseline"/>
        </w:rPr>
        <w:t> </w:t>
      </w:r>
      <w:r>
        <w:rPr>
          <w:vertAlign w:val="baseline"/>
        </w:rPr>
        <w:t>paired</w:t>
      </w:r>
      <w:r>
        <w:rPr>
          <w:spacing w:val="-1"/>
          <w:vertAlign w:val="baseline"/>
        </w:rPr>
        <w:t> </w:t>
      </w:r>
      <w:r>
        <w:rPr>
          <w:vertAlign w:val="baseline"/>
        </w:rPr>
        <w:t>social</w:t>
      </w:r>
      <w:r>
        <w:rPr>
          <w:spacing w:val="-1"/>
          <w:vertAlign w:val="baseline"/>
        </w:rPr>
        <w:t> </w:t>
      </w:r>
      <w:r>
        <w:rPr>
          <w:vertAlign w:val="baseline"/>
        </w:rPr>
        <w:t>programs</w:t>
      </w:r>
      <w:r>
        <w:rPr>
          <w:spacing w:val="-1"/>
          <w:vertAlign w:val="baseline"/>
        </w:rPr>
        <w:t> </w:t>
      </w:r>
      <w:r>
        <w:rPr>
          <w:vertAlign w:val="baseline"/>
        </w:rPr>
        <w:t>that</w:t>
      </w:r>
      <w:r>
        <w:rPr>
          <w:spacing w:val="-1"/>
          <w:vertAlign w:val="baseline"/>
        </w:rPr>
        <w:t> </w:t>
      </w:r>
      <w:r>
        <w:rPr>
          <w:vertAlign w:val="baseline"/>
        </w:rPr>
        <w:t>seek</w:t>
      </w:r>
      <w:r>
        <w:rPr>
          <w:spacing w:val="-1"/>
          <w:vertAlign w:val="baseline"/>
        </w:rPr>
        <w:t> </w:t>
      </w:r>
      <w:r>
        <w:rPr>
          <w:vertAlign w:val="baseline"/>
        </w:rPr>
        <w:t>to</w:t>
      </w:r>
      <w:r>
        <w:rPr>
          <w:spacing w:val="-1"/>
          <w:vertAlign w:val="baseline"/>
        </w:rPr>
        <w:t> </w:t>
      </w:r>
      <w:r>
        <w:rPr>
          <w:vertAlign w:val="baseline"/>
        </w:rPr>
        <w:t>reduce</w:t>
      </w:r>
      <w:r>
        <w:rPr>
          <w:spacing w:val="-1"/>
          <w:vertAlign w:val="baseline"/>
        </w:rPr>
        <w:t> </w:t>
      </w:r>
      <w:r>
        <w:rPr>
          <w:vertAlign w:val="baseline"/>
        </w:rPr>
        <w:t>rebel</w:t>
      </w:r>
      <w:r>
        <w:rPr>
          <w:spacing w:val="-1"/>
          <w:vertAlign w:val="baseline"/>
        </w:rPr>
        <w:t> </w:t>
      </w:r>
      <w:r>
        <w:rPr>
          <w:vertAlign w:val="baseline"/>
        </w:rPr>
        <w:t>incentives</w:t>
      </w:r>
      <w:r>
        <w:rPr>
          <w:spacing w:val="-1"/>
          <w:vertAlign w:val="baseline"/>
        </w:rPr>
        <w:t> </w:t>
      </w:r>
      <w:r>
        <w:rPr>
          <w:vertAlign w:val="baseline"/>
        </w:rPr>
        <w:t>to</w:t>
      </w:r>
      <w:r>
        <w:rPr>
          <w:spacing w:val="-1"/>
          <w:vertAlign w:val="baseline"/>
        </w:rPr>
        <w:t> </w:t>
      </w:r>
      <w:r>
        <w:rPr>
          <w:vertAlign w:val="baseline"/>
        </w:rPr>
        <w:t>fight. Developing</w:t>
      </w:r>
      <w:r>
        <w:rPr>
          <w:spacing w:val="-8"/>
          <w:vertAlign w:val="baseline"/>
        </w:rPr>
        <w:t> </w:t>
      </w:r>
      <w:r>
        <w:rPr>
          <w:vertAlign w:val="baseline"/>
        </w:rPr>
        <w:t>measures</w:t>
      </w:r>
      <w:r>
        <w:rPr>
          <w:spacing w:val="-8"/>
          <w:vertAlign w:val="baseline"/>
        </w:rPr>
        <w:t> </w:t>
      </w:r>
      <w:r>
        <w:rPr>
          <w:vertAlign w:val="baseline"/>
        </w:rPr>
        <w:t>to</w:t>
      </w:r>
      <w:r>
        <w:rPr>
          <w:spacing w:val="-8"/>
          <w:vertAlign w:val="baseline"/>
        </w:rPr>
        <w:t> </w:t>
      </w:r>
      <w:r>
        <w:rPr>
          <w:vertAlign w:val="baseline"/>
        </w:rPr>
        <w:t>estimate</w:t>
      </w:r>
      <w:r>
        <w:rPr>
          <w:spacing w:val="-8"/>
          <w:vertAlign w:val="baseline"/>
        </w:rPr>
        <w:t> </w:t>
      </w:r>
      <w:r>
        <w:rPr>
          <w:vertAlign w:val="baseline"/>
        </w:rPr>
        <w:t>these</w:t>
      </w:r>
      <w:r>
        <w:rPr>
          <w:spacing w:val="-8"/>
          <w:vertAlign w:val="baseline"/>
        </w:rPr>
        <w:t> </w:t>
      </w:r>
      <w:r>
        <w:rPr>
          <w:vertAlign w:val="baseline"/>
        </w:rPr>
        <w:t>non-military</w:t>
      </w:r>
      <w:r>
        <w:rPr>
          <w:spacing w:val="-8"/>
          <w:vertAlign w:val="baseline"/>
        </w:rPr>
        <w:t> </w:t>
      </w:r>
      <w:r>
        <w:rPr>
          <w:vertAlign w:val="baseline"/>
        </w:rPr>
        <w:t>measures</w:t>
      </w:r>
      <w:r>
        <w:rPr>
          <w:spacing w:val="-8"/>
          <w:vertAlign w:val="baseline"/>
        </w:rPr>
        <w:t> </w:t>
      </w:r>
      <w:r>
        <w:rPr>
          <w:vertAlign w:val="baseline"/>
        </w:rPr>
        <w:t>is</w:t>
      </w:r>
      <w:r>
        <w:rPr>
          <w:spacing w:val="-8"/>
          <w:vertAlign w:val="baseline"/>
        </w:rPr>
        <w:t> </w:t>
      </w:r>
      <w:r>
        <w:rPr>
          <w:vertAlign w:val="baseline"/>
        </w:rPr>
        <w:t>an</w:t>
      </w:r>
      <w:r>
        <w:rPr>
          <w:spacing w:val="-8"/>
          <w:vertAlign w:val="baseline"/>
        </w:rPr>
        <w:t> </w:t>
      </w:r>
      <w:r>
        <w:rPr>
          <w:vertAlign w:val="baseline"/>
        </w:rPr>
        <w:t>important</w:t>
      </w:r>
      <w:r>
        <w:rPr>
          <w:spacing w:val="-8"/>
          <w:vertAlign w:val="baseline"/>
        </w:rPr>
        <w:t> </w:t>
      </w:r>
      <w:r>
        <w:rPr>
          <w:vertAlign w:val="baseline"/>
        </w:rPr>
        <w:t>next</w:t>
      </w:r>
      <w:r>
        <w:rPr>
          <w:spacing w:val="-8"/>
          <w:vertAlign w:val="baseline"/>
        </w:rPr>
        <w:t> </w:t>
      </w:r>
      <w:r>
        <w:rPr>
          <w:vertAlign w:val="baseline"/>
        </w:rPr>
        <w:t>step</w:t>
      </w:r>
      <w:r>
        <w:rPr>
          <w:spacing w:val="-8"/>
          <w:vertAlign w:val="baseline"/>
        </w:rPr>
        <w:t> </w:t>
      </w:r>
      <w:r>
        <w:rPr>
          <w:vertAlign w:val="baseline"/>
        </w:rPr>
        <w:t>for</w:t>
      </w:r>
      <w:r>
        <w:rPr>
          <w:spacing w:val="-8"/>
          <w:vertAlign w:val="baseline"/>
        </w:rPr>
        <w:t> </w:t>
      </w:r>
      <w:r>
        <w:rPr>
          <w:vertAlign w:val="baseline"/>
        </w:rPr>
        <w:t>this</w:t>
      </w:r>
      <w:r>
        <w:rPr>
          <w:spacing w:val="-8"/>
          <w:vertAlign w:val="baseline"/>
        </w:rPr>
        <w:t> </w:t>
      </w:r>
      <w:r>
        <w:rPr>
          <w:vertAlign w:val="baseline"/>
        </w:rPr>
        <w:t>area</w:t>
      </w:r>
      <w:r>
        <w:rPr>
          <w:spacing w:val="-8"/>
          <w:vertAlign w:val="baseline"/>
        </w:rPr>
        <w:t> </w:t>
      </w:r>
      <w:r>
        <w:rPr>
          <w:vertAlign w:val="baseline"/>
        </w:rPr>
        <w:t>of research.</w:t>
      </w:r>
      <w:r>
        <w:rPr>
          <w:spacing w:val="36"/>
          <w:vertAlign w:val="baseline"/>
        </w:rPr>
        <w:t> </w:t>
      </w:r>
      <w:r>
        <w:rPr>
          <w:vertAlign w:val="baseline"/>
        </w:rPr>
        <w:t>Another point highlighted by this case is the increase in battle deaths as the state attempts to</w:t>
      </w:r>
      <w:r>
        <w:rPr>
          <w:spacing w:val="-3"/>
          <w:vertAlign w:val="baseline"/>
        </w:rPr>
        <w:t> </w:t>
      </w:r>
      <w:r>
        <w:rPr>
          <w:vertAlign w:val="baseline"/>
        </w:rPr>
        <w:t>assert</w:t>
      </w:r>
      <w:r>
        <w:rPr>
          <w:spacing w:val="-3"/>
          <w:vertAlign w:val="baseline"/>
        </w:rPr>
        <w:t> </w:t>
      </w:r>
      <w:r>
        <w:rPr>
          <w:vertAlign w:val="baseline"/>
        </w:rPr>
        <w:t>control. In</w:t>
      </w:r>
      <w:r>
        <w:rPr>
          <w:spacing w:val="-3"/>
          <w:vertAlign w:val="baseline"/>
        </w:rPr>
        <w:t> </w:t>
      </w:r>
      <w:r>
        <w:rPr>
          <w:vertAlign w:val="baseline"/>
        </w:rPr>
        <w:t>other</w:t>
      </w:r>
      <w:r>
        <w:rPr>
          <w:spacing w:val="-3"/>
          <w:vertAlign w:val="baseline"/>
        </w:rPr>
        <w:t> </w:t>
      </w:r>
      <w:r>
        <w:rPr>
          <w:vertAlign w:val="baseline"/>
        </w:rPr>
        <w:t>words,</w:t>
      </w:r>
      <w:r>
        <w:rPr>
          <w:spacing w:val="-3"/>
          <w:vertAlign w:val="baseline"/>
        </w:rPr>
        <w:t> </w:t>
      </w:r>
      <w:r>
        <w:rPr>
          <w:vertAlign w:val="baseline"/>
        </w:rPr>
        <w:t>the</w:t>
      </w:r>
      <w:r>
        <w:rPr>
          <w:spacing w:val="-3"/>
          <w:vertAlign w:val="baseline"/>
        </w:rPr>
        <w:t> </w:t>
      </w:r>
      <w:r>
        <w:rPr>
          <w:vertAlign w:val="baseline"/>
        </w:rPr>
        <w:t>effect</w:t>
      </w:r>
      <w:r>
        <w:rPr>
          <w:spacing w:val="-3"/>
          <w:vertAlign w:val="baseline"/>
        </w:rPr>
        <w:t> </w:t>
      </w:r>
      <w:r>
        <w:rPr>
          <w:vertAlign w:val="baseline"/>
        </w:rPr>
        <w:t>of</w:t>
      </w:r>
      <w:r>
        <w:rPr>
          <w:spacing w:val="-3"/>
          <w:vertAlign w:val="baseline"/>
        </w:rPr>
        <w:t> </w:t>
      </w:r>
      <w:r>
        <w:rPr>
          <w:vertAlign w:val="baseline"/>
        </w:rPr>
        <w:t>military</w:t>
      </w:r>
      <w:r>
        <w:rPr>
          <w:spacing w:val="-3"/>
          <w:vertAlign w:val="baseline"/>
        </w:rPr>
        <w:t> </w:t>
      </w:r>
      <w:r>
        <w:rPr>
          <w:vertAlign w:val="baseline"/>
        </w:rPr>
        <w:t>expenditures</w:t>
      </w:r>
      <w:r>
        <w:rPr>
          <w:spacing w:val="-3"/>
          <w:vertAlign w:val="baseline"/>
        </w:rPr>
        <w:t> </w:t>
      </w:r>
      <w:r>
        <w:rPr>
          <w:vertAlign w:val="baseline"/>
        </w:rPr>
        <w:t>on</w:t>
      </w:r>
      <w:r>
        <w:rPr>
          <w:spacing w:val="-3"/>
          <w:vertAlign w:val="baseline"/>
        </w:rPr>
        <w:t> </w:t>
      </w:r>
      <w:r>
        <w:rPr>
          <w:vertAlign w:val="baseline"/>
        </w:rPr>
        <w:t>battle</w:t>
      </w:r>
      <w:r>
        <w:rPr>
          <w:spacing w:val="-3"/>
          <w:vertAlign w:val="baseline"/>
        </w:rPr>
        <w:t> </w:t>
      </w:r>
      <w:r>
        <w:rPr>
          <w:vertAlign w:val="baseline"/>
        </w:rPr>
        <w:t>deaths</w:t>
      </w:r>
      <w:r>
        <w:rPr>
          <w:spacing w:val="-3"/>
          <w:vertAlign w:val="baseline"/>
        </w:rPr>
        <w:t> </w:t>
      </w:r>
      <w:r>
        <w:rPr>
          <w:vertAlign w:val="baseline"/>
        </w:rPr>
        <w:t>was</w:t>
      </w:r>
      <w:r>
        <w:rPr>
          <w:spacing w:val="-3"/>
          <w:vertAlign w:val="baseline"/>
        </w:rPr>
        <w:t> </w:t>
      </w:r>
      <w:r>
        <w:rPr>
          <w:vertAlign w:val="baseline"/>
        </w:rPr>
        <w:t>nonlinear. In our empirical study we use battle deaths as a measure of conflict in line with previous studies</w:t>
      </w:r>
      <w:r>
        <w:rPr>
          <w:rFonts w:ascii="Century Gothic"/>
          <w:vertAlign w:val="superscript"/>
        </w:rPr>
        <w:t>73</w:t>
      </w:r>
      <w:r>
        <w:rPr>
          <w:vertAlign w:val="baseline"/>
        </w:rPr>
        <w:t>, but other measures (such as the security effectiveness index or a similar measure) may do a better job at measuring progress in state capacity in future research.</w:t>
      </w:r>
    </w:p>
    <w:p>
      <w:pPr>
        <w:pStyle w:val="BodyText"/>
      </w:pPr>
    </w:p>
    <w:p>
      <w:pPr>
        <w:pStyle w:val="Heading1"/>
        <w:numPr>
          <w:ilvl w:val="0"/>
          <w:numId w:val="1"/>
        </w:numPr>
        <w:tabs>
          <w:tab w:pos="621" w:val="left" w:leader="none"/>
          <w:tab w:pos="622" w:val="left" w:leader="none"/>
        </w:tabs>
        <w:spacing w:line="240" w:lineRule="auto" w:before="144" w:after="0"/>
        <w:ind w:left="621" w:right="0" w:hanging="485"/>
        <w:jc w:val="left"/>
      </w:pPr>
      <w:r>
        <w:rPr>
          <w:spacing w:val="-2"/>
        </w:rPr>
        <w:t>Discussion</w:t>
      </w:r>
    </w:p>
    <w:p>
      <w:pPr>
        <w:pStyle w:val="BodyText"/>
        <w:spacing w:line="316" w:lineRule="auto" w:before="251"/>
        <w:ind w:left="137" w:right="1793" w:firstLine="298"/>
        <w:jc w:val="both"/>
      </w:pPr>
      <w:r>
        <w:rPr>
          <w:spacing w:val="-2"/>
        </w:rPr>
        <w:t>This</w:t>
      </w:r>
      <w:r>
        <w:rPr>
          <w:spacing w:val="-9"/>
        </w:rPr>
        <w:t> </w:t>
      </w:r>
      <w:r>
        <w:rPr>
          <w:spacing w:val="-2"/>
        </w:rPr>
        <w:t>research</w:t>
      </w:r>
      <w:r>
        <w:rPr>
          <w:spacing w:val="-9"/>
        </w:rPr>
        <w:t> </w:t>
      </w:r>
      <w:r>
        <w:rPr>
          <w:spacing w:val="-2"/>
        </w:rPr>
        <w:t>helps</w:t>
      </w:r>
      <w:r>
        <w:rPr>
          <w:spacing w:val="-9"/>
        </w:rPr>
        <w:t> </w:t>
      </w:r>
      <w:r>
        <w:rPr>
          <w:spacing w:val="-2"/>
        </w:rPr>
        <w:t>define</w:t>
      </w:r>
      <w:r>
        <w:rPr>
          <w:spacing w:val="-9"/>
        </w:rPr>
        <w:t> </w:t>
      </w:r>
      <w:r>
        <w:rPr>
          <w:spacing w:val="-2"/>
        </w:rPr>
        <w:t>important</w:t>
      </w:r>
      <w:r>
        <w:rPr>
          <w:spacing w:val="-9"/>
        </w:rPr>
        <w:t> </w:t>
      </w:r>
      <w:r>
        <w:rPr>
          <w:spacing w:val="-2"/>
        </w:rPr>
        <w:t>aspects</w:t>
      </w:r>
      <w:r>
        <w:rPr>
          <w:spacing w:val="-9"/>
        </w:rPr>
        <w:t> </w:t>
      </w:r>
      <w:r>
        <w:rPr>
          <w:spacing w:val="-2"/>
        </w:rPr>
        <w:t>of</w:t>
      </w:r>
      <w:r>
        <w:rPr>
          <w:spacing w:val="-9"/>
        </w:rPr>
        <w:t> </w:t>
      </w:r>
      <w:r>
        <w:rPr>
          <w:spacing w:val="-2"/>
        </w:rPr>
        <w:t>the</w:t>
      </w:r>
      <w:r>
        <w:rPr>
          <w:spacing w:val="-9"/>
        </w:rPr>
        <w:t> </w:t>
      </w:r>
      <w:r>
        <w:rPr>
          <w:spacing w:val="-2"/>
        </w:rPr>
        <w:t>relationship</w:t>
      </w:r>
      <w:r>
        <w:rPr>
          <w:spacing w:val="-9"/>
        </w:rPr>
        <w:t> </w:t>
      </w:r>
      <w:r>
        <w:rPr>
          <w:spacing w:val="-2"/>
        </w:rPr>
        <w:t>between</w:t>
      </w:r>
      <w:r>
        <w:rPr>
          <w:spacing w:val="-9"/>
        </w:rPr>
        <w:t> </w:t>
      </w:r>
      <w:r>
        <w:rPr>
          <w:spacing w:val="-2"/>
        </w:rPr>
        <w:t>oil</w:t>
      </w:r>
      <w:r>
        <w:rPr>
          <w:spacing w:val="-9"/>
        </w:rPr>
        <w:t> </w:t>
      </w:r>
      <w:r>
        <w:rPr>
          <w:spacing w:val="-2"/>
        </w:rPr>
        <w:t>prices</w:t>
      </w:r>
      <w:r>
        <w:rPr>
          <w:spacing w:val="-9"/>
        </w:rPr>
        <w:t> </w:t>
      </w:r>
      <w:r>
        <w:rPr>
          <w:spacing w:val="-2"/>
        </w:rPr>
        <w:t>and</w:t>
      </w:r>
      <w:r>
        <w:rPr>
          <w:spacing w:val="-9"/>
        </w:rPr>
        <w:t> </w:t>
      </w:r>
      <w:r>
        <w:rPr>
          <w:spacing w:val="-2"/>
        </w:rPr>
        <w:t>civil</w:t>
      </w:r>
      <w:r>
        <w:rPr>
          <w:spacing w:val="-9"/>
        </w:rPr>
        <w:t> </w:t>
      </w:r>
      <w:r>
        <w:rPr>
          <w:spacing w:val="-2"/>
        </w:rPr>
        <w:t>conflict</w:t>
      </w:r>
      <w:r>
        <w:rPr>
          <w:spacing w:val="-9"/>
        </w:rPr>
        <w:t> </w:t>
      </w:r>
      <w:r>
        <w:rPr>
          <w:spacing w:val="-2"/>
        </w:rPr>
        <w:t>in oil-reliant</w:t>
      </w:r>
      <w:r>
        <w:rPr>
          <w:spacing w:val="-6"/>
        </w:rPr>
        <w:t> </w:t>
      </w:r>
      <w:r>
        <w:rPr>
          <w:spacing w:val="-2"/>
        </w:rPr>
        <w:t>states.</w:t>
      </w:r>
      <w:r>
        <w:rPr>
          <w:spacing w:val="20"/>
        </w:rPr>
        <w:t> </w:t>
      </w:r>
      <w:r>
        <w:rPr>
          <w:spacing w:val="-2"/>
        </w:rPr>
        <w:t>When</w:t>
      </w:r>
      <w:r>
        <w:rPr>
          <w:spacing w:val="-6"/>
        </w:rPr>
        <w:t> </w:t>
      </w:r>
      <w:r>
        <w:rPr>
          <w:spacing w:val="-2"/>
        </w:rPr>
        <w:t>oil</w:t>
      </w:r>
      <w:r>
        <w:rPr>
          <w:spacing w:val="-6"/>
        </w:rPr>
        <w:t> </w:t>
      </w:r>
      <w:r>
        <w:rPr>
          <w:spacing w:val="-2"/>
        </w:rPr>
        <w:t>prices</w:t>
      </w:r>
      <w:r>
        <w:rPr>
          <w:spacing w:val="-6"/>
        </w:rPr>
        <w:t> </w:t>
      </w:r>
      <w:r>
        <w:rPr>
          <w:spacing w:val="-2"/>
        </w:rPr>
        <w:t>are</w:t>
      </w:r>
      <w:r>
        <w:rPr>
          <w:spacing w:val="-6"/>
        </w:rPr>
        <w:t> </w:t>
      </w:r>
      <w:r>
        <w:rPr>
          <w:spacing w:val="-2"/>
        </w:rPr>
        <w:t>high,</w:t>
      </w:r>
      <w:r>
        <w:rPr>
          <w:spacing w:val="-4"/>
        </w:rPr>
        <w:t> </w:t>
      </w:r>
      <w:r>
        <w:rPr>
          <w:spacing w:val="-2"/>
        </w:rPr>
        <w:t>rentier</w:t>
      </w:r>
      <w:r>
        <w:rPr>
          <w:spacing w:val="-6"/>
        </w:rPr>
        <w:t> </w:t>
      </w:r>
      <w:r>
        <w:rPr>
          <w:spacing w:val="-2"/>
        </w:rPr>
        <w:t>states</w:t>
      </w:r>
      <w:r>
        <w:rPr>
          <w:spacing w:val="-6"/>
        </w:rPr>
        <w:t> </w:t>
      </w:r>
      <w:r>
        <w:rPr>
          <w:spacing w:val="-2"/>
        </w:rPr>
        <w:t>can</w:t>
      </w:r>
      <w:r>
        <w:rPr>
          <w:spacing w:val="-6"/>
        </w:rPr>
        <w:t> </w:t>
      </w:r>
      <w:r>
        <w:rPr>
          <w:spacing w:val="-2"/>
        </w:rPr>
        <w:t>better</w:t>
      </w:r>
      <w:r>
        <w:rPr>
          <w:spacing w:val="-6"/>
        </w:rPr>
        <w:t> </w:t>
      </w:r>
      <w:r>
        <w:rPr>
          <w:spacing w:val="-2"/>
        </w:rPr>
        <w:t>fund</w:t>
      </w:r>
      <w:r>
        <w:rPr>
          <w:spacing w:val="-6"/>
        </w:rPr>
        <w:t> </w:t>
      </w:r>
      <w:r>
        <w:rPr>
          <w:spacing w:val="-2"/>
        </w:rPr>
        <w:t>conflict-reducing</w:t>
      </w:r>
      <w:r>
        <w:rPr>
          <w:spacing w:val="-6"/>
        </w:rPr>
        <w:t> </w:t>
      </w:r>
      <w:r>
        <w:rPr>
          <w:spacing w:val="-2"/>
        </w:rPr>
        <w:t>state</w:t>
      </w:r>
      <w:r>
        <w:rPr>
          <w:spacing w:val="-6"/>
        </w:rPr>
        <w:t> </w:t>
      </w:r>
      <w:r>
        <w:rPr>
          <w:spacing w:val="-2"/>
        </w:rPr>
        <w:t>capacity, </w:t>
      </w:r>
      <w:r>
        <w:rPr/>
        <w:t>such as expenditures on military force.</w:t>
      </w:r>
      <w:r>
        <w:rPr>
          <w:spacing w:val="40"/>
        </w:rPr>
        <w:t> </w:t>
      </w:r>
      <w:r>
        <w:rPr/>
        <w:t>Rebels seeking to capture oil-rich regions can be expected to contend with the capacity that the central government has to stop their rebellion.</w:t>
      </w:r>
      <w:r>
        <w:rPr>
          <w:spacing w:val="40"/>
        </w:rPr>
        <w:t> </w:t>
      </w:r>
      <w:r>
        <w:rPr/>
        <w:t>Additionally, this </w:t>
      </w:r>
      <w:r>
        <w:rPr>
          <w:spacing w:val="-2"/>
        </w:rPr>
        <w:t>research</w:t>
      </w:r>
      <w:r>
        <w:rPr>
          <w:spacing w:val="-8"/>
        </w:rPr>
        <w:t> </w:t>
      </w:r>
      <w:r>
        <w:rPr>
          <w:spacing w:val="-2"/>
        </w:rPr>
        <w:t>helps</w:t>
      </w:r>
      <w:r>
        <w:rPr>
          <w:spacing w:val="-8"/>
        </w:rPr>
        <w:t> </w:t>
      </w:r>
      <w:r>
        <w:rPr>
          <w:spacing w:val="-2"/>
        </w:rPr>
        <w:t>to</w:t>
      </w:r>
      <w:r>
        <w:rPr>
          <w:spacing w:val="-8"/>
        </w:rPr>
        <w:t> </w:t>
      </w:r>
      <w:r>
        <w:rPr>
          <w:spacing w:val="-2"/>
        </w:rPr>
        <w:t>expand</w:t>
      </w:r>
      <w:r>
        <w:rPr>
          <w:spacing w:val="-8"/>
        </w:rPr>
        <w:t> </w:t>
      </w:r>
      <w:r>
        <w:rPr>
          <w:spacing w:val="-2"/>
        </w:rPr>
        <w:t>an</w:t>
      </w:r>
      <w:r>
        <w:rPr>
          <w:spacing w:val="-8"/>
        </w:rPr>
        <w:t> </w:t>
      </w:r>
      <w:r>
        <w:rPr>
          <w:spacing w:val="-2"/>
        </w:rPr>
        <w:t>already</w:t>
      </w:r>
      <w:r>
        <w:rPr>
          <w:spacing w:val="-8"/>
        </w:rPr>
        <w:t> </w:t>
      </w:r>
      <w:r>
        <w:rPr>
          <w:spacing w:val="-2"/>
        </w:rPr>
        <w:t>existing</w:t>
      </w:r>
      <w:r>
        <w:rPr>
          <w:spacing w:val="-8"/>
        </w:rPr>
        <w:t> </w:t>
      </w:r>
      <w:r>
        <w:rPr>
          <w:spacing w:val="-2"/>
        </w:rPr>
        <w:t>literature</w:t>
      </w:r>
      <w:r>
        <w:rPr>
          <w:spacing w:val="-8"/>
        </w:rPr>
        <w:t> </w:t>
      </w:r>
      <w:r>
        <w:rPr>
          <w:spacing w:val="-2"/>
        </w:rPr>
        <w:t>on</w:t>
      </w:r>
      <w:r>
        <w:rPr>
          <w:spacing w:val="-8"/>
        </w:rPr>
        <w:t> </w:t>
      </w:r>
      <w:r>
        <w:rPr>
          <w:spacing w:val="-2"/>
        </w:rPr>
        <w:t>the</w:t>
      </w:r>
      <w:r>
        <w:rPr>
          <w:spacing w:val="-8"/>
        </w:rPr>
        <w:t> </w:t>
      </w:r>
      <w:r>
        <w:rPr>
          <w:spacing w:val="-2"/>
        </w:rPr>
        <w:t>impact</w:t>
      </w:r>
      <w:r>
        <w:rPr>
          <w:spacing w:val="-8"/>
        </w:rPr>
        <w:t> </w:t>
      </w:r>
      <w:r>
        <w:rPr>
          <w:spacing w:val="-2"/>
        </w:rPr>
        <w:t>of</w:t>
      </w:r>
      <w:r>
        <w:rPr>
          <w:spacing w:val="-8"/>
        </w:rPr>
        <w:t> </w:t>
      </w:r>
      <w:r>
        <w:rPr>
          <w:spacing w:val="-2"/>
        </w:rPr>
        <w:t>oil</w:t>
      </w:r>
      <w:r>
        <w:rPr>
          <w:spacing w:val="-8"/>
        </w:rPr>
        <w:t> </w:t>
      </w:r>
      <w:r>
        <w:rPr>
          <w:spacing w:val="-2"/>
        </w:rPr>
        <w:t>prices</w:t>
      </w:r>
      <w:r>
        <w:rPr>
          <w:spacing w:val="-8"/>
        </w:rPr>
        <w:t> </w:t>
      </w:r>
      <w:r>
        <w:rPr>
          <w:spacing w:val="-2"/>
        </w:rPr>
        <w:t>and</w:t>
      </w:r>
      <w:r>
        <w:rPr>
          <w:spacing w:val="-8"/>
        </w:rPr>
        <w:t> </w:t>
      </w:r>
      <w:r>
        <w:rPr>
          <w:spacing w:val="-2"/>
        </w:rPr>
        <w:t>conflict,</w:t>
      </w:r>
      <w:r>
        <w:rPr>
          <w:spacing w:val="-6"/>
        </w:rPr>
        <w:t> </w:t>
      </w:r>
      <w:r>
        <w:rPr>
          <w:spacing w:val="-2"/>
        </w:rPr>
        <w:t>which</w:t>
      </w:r>
      <w:r>
        <w:rPr>
          <w:spacing w:val="-8"/>
        </w:rPr>
        <w:t> </w:t>
      </w:r>
      <w:r>
        <w:rPr>
          <w:spacing w:val="-2"/>
        </w:rPr>
        <w:t>thus </w:t>
      </w:r>
      <w:r>
        <w:rPr/>
        <w:t>far</w:t>
      </w:r>
      <w:r>
        <w:rPr>
          <w:spacing w:val="-13"/>
        </w:rPr>
        <w:t> </w:t>
      </w:r>
      <w:r>
        <w:rPr/>
        <w:t>has</w:t>
      </w:r>
      <w:r>
        <w:rPr>
          <w:spacing w:val="-12"/>
        </w:rPr>
        <w:t> </w:t>
      </w:r>
      <w:r>
        <w:rPr/>
        <w:t>mainly</w:t>
      </w:r>
      <w:r>
        <w:rPr>
          <w:spacing w:val="-12"/>
        </w:rPr>
        <w:t> </w:t>
      </w:r>
      <w:r>
        <w:rPr/>
        <w:t>focused</w:t>
      </w:r>
      <w:r>
        <w:rPr>
          <w:spacing w:val="-12"/>
        </w:rPr>
        <w:t> </w:t>
      </w:r>
      <w:r>
        <w:rPr/>
        <w:t>on</w:t>
      </w:r>
      <w:r>
        <w:rPr>
          <w:spacing w:val="-12"/>
        </w:rPr>
        <w:t> </w:t>
      </w:r>
      <w:r>
        <w:rPr/>
        <w:t>rebel</w:t>
      </w:r>
      <w:r>
        <w:rPr>
          <w:spacing w:val="-12"/>
        </w:rPr>
        <w:t> </w:t>
      </w:r>
      <w:r>
        <w:rPr/>
        <w:t>incentives,</w:t>
      </w:r>
      <w:r>
        <w:rPr>
          <w:spacing w:val="-12"/>
        </w:rPr>
        <w:t> </w:t>
      </w:r>
      <w:r>
        <w:rPr/>
        <w:t>or</w:t>
      </w:r>
      <w:r>
        <w:rPr>
          <w:spacing w:val="-12"/>
        </w:rPr>
        <w:t> </w:t>
      </w:r>
      <w:r>
        <w:rPr/>
        <w:t>on</w:t>
      </w:r>
      <w:r>
        <w:rPr>
          <w:spacing w:val="-12"/>
        </w:rPr>
        <w:t> </w:t>
      </w:r>
      <w:r>
        <w:rPr/>
        <w:t>the</w:t>
      </w:r>
      <w:r>
        <w:rPr>
          <w:spacing w:val="-12"/>
        </w:rPr>
        <w:t> </w:t>
      </w:r>
      <w:r>
        <w:rPr/>
        <w:t>propensity</w:t>
      </w:r>
      <w:r>
        <w:rPr>
          <w:spacing w:val="-12"/>
        </w:rPr>
        <w:t> </w:t>
      </w:r>
      <w:r>
        <w:rPr/>
        <w:t>for</w:t>
      </w:r>
      <w:r>
        <w:rPr>
          <w:spacing w:val="-12"/>
        </w:rPr>
        <w:t> </w:t>
      </w:r>
      <w:r>
        <w:rPr/>
        <w:t>interstate</w:t>
      </w:r>
      <w:r>
        <w:rPr>
          <w:spacing w:val="-12"/>
        </w:rPr>
        <w:t> </w:t>
      </w:r>
      <w:r>
        <w:rPr/>
        <w:t>conflict.</w:t>
      </w:r>
      <w:r>
        <w:rPr>
          <w:spacing w:val="-12"/>
        </w:rPr>
        <w:t> </w:t>
      </w:r>
      <w:r>
        <w:rPr/>
        <w:t>By</w:t>
      </w:r>
      <w:r>
        <w:rPr>
          <w:spacing w:val="-12"/>
        </w:rPr>
        <w:t> </w:t>
      </w:r>
      <w:r>
        <w:rPr/>
        <w:t>understanding the associations between these variables more closely, both researchers and policy makers will have additional insight into what conditions can be expected to generate conflict in oil dependent states.</w:t>
      </w:r>
    </w:p>
    <w:p>
      <w:pPr>
        <w:pStyle w:val="BodyText"/>
        <w:spacing w:line="316" w:lineRule="auto" w:before="133"/>
        <w:ind w:left="137" w:right="1793" w:firstLine="298"/>
        <w:jc w:val="both"/>
      </w:pPr>
      <w:r>
        <w:rPr/>
        <w:t>This study could be improved by developing and testing alternative measures of state capacity and conflict intensity.</w:t>
      </w:r>
      <w:r>
        <w:rPr>
          <w:spacing w:val="40"/>
        </w:rPr>
        <w:t> </w:t>
      </w:r>
      <w:r>
        <w:rPr/>
        <w:t>As we saw in the data analysis and with the examination of Nigeria, high state capacity may not always lead to less battle deaths, and likewise lower military expenditure may not always indicate a weaker security sector.</w:t>
      </w:r>
      <w:r>
        <w:rPr>
          <w:spacing w:val="40"/>
        </w:rPr>
        <w:t> </w:t>
      </w:r>
      <w:r>
        <w:rPr/>
        <w:t>Improved measures of these variables will allow analysts to </w:t>
      </w:r>
      <w:r>
        <w:rPr>
          <w:spacing w:val="-4"/>
        </w:rPr>
        <w:t>develop more flexible models than the ones presented here.</w:t>
      </w:r>
      <w:r>
        <w:rPr>
          <w:spacing w:val="27"/>
        </w:rPr>
        <w:t> </w:t>
      </w:r>
      <w:r>
        <w:rPr>
          <w:spacing w:val="-4"/>
        </w:rPr>
        <w:t>The newness of many state capacity measures </w:t>
      </w:r>
      <w:r>
        <w:rPr/>
        <w:t>limits their usage in quantitative studies, and addressing this limitation should be a priority for peace </w:t>
      </w:r>
      <w:r>
        <w:rPr>
          <w:spacing w:val="-2"/>
        </w:rPr>
        <w:t>researchers.</w:t>
      </w:r>
    </w:p>
    <w:p>
      <w:pPr>
        <w:pStyle w:val="BodyText"/>
        <w:spacing w:line="316" w:lineRule="auto" w:before="134"/>
        <w:ind w:left="137" w:right="1793" w:firstLine="298"/>
        <w:jc w:val="both"/>
      </w:pPr>
      <w:r>
        <w:rPr/>
        <w:pict>
          <v:shape style="position:absolute;margin-left:70.865997pt;margin-top:83.759918pt;width:179.75pt;height:.1pt;mso-position-horizontal-relative:page;mso-position-vertical-relative:paragraph;z-index:-15715840;mso-wrap-distance-left:0;mso-wrap-distance-right:0" id="docshape27" coordorigin="1417,1675" coordsize="3595,0" path="m1417,1675l5012,1675e" filled="false" stroked="true" strokeweight=".398pt" strokecolor="#000000">
            <v:path arrowok="t"/>
            <v:stroke dashstyle="solid"/>
            <w10:wrap type="topAndBottom"/>
          </v:shape>
        </w:pict>
      </w:r>
      <w:r>
        <w:rPr/>
        <w:t>Regardless of the true size of the effects estimated here, it seems clear that the changing energy economy</w:t>
      </w:r>
      <w:r>
        <w:rPr>
          <w:spacing w:val="-9"/>
        </w:rPr>
        <w:t> </w:t>
      </w:r>
      <w:r>
        <w:rPr/>
        <w:t>will</w:t>
      </w:r>
      <w:r>
        <w:rPr>
          <w:spacing w:val="-9"/>
        </w:rPr>
        <w:t> </w:t>
      </w:r>
      <w:r>
        <w:rPr/>
        <w:t>hold</w:t>
      </w:r>
      <w:r>
        <w:rPr>
          <w:spacing w:val="-10"/>
        </w:rPr>
        <w:t> </w:t>
      </w:r>
      <w:r>
        <w:rPr/>
        <w:t>serious</w:t>
      </w:r>
      <w:r>
        <w:rPr>
          <w:spacing w:val="-10"/>
        </w:rPr>
        <w:t> </w:t>
      </w:r>
      <w:r>
        <w:rPr/>
        <w:t>consequences</w:t>
      </w:r>
      <w:r>
        <w:rPr>
          <w:spacing w:val="-10"/>
        </w:rPr>
        <w:t> </w:t>
      </w:r>
      <w:r>
        <w:rPr/>
        <w:t>for</w:t>
      </w:r>
      <w:r>
        <w:rPr>
          <w:spacing w:val="-9"/>
        </w:rPr>
        <w:t> </w:t>
      </w:r>
      <w:r>
        <w:rPr/>
        <w:t>states</w:t>
      </w:r>
      <w:r>
        <w:rPr>
          <w:spacing w:val="-10"/>
        </w:rPr>
        <w:t> </w:t>
      </w:r>
      <w:r>
        <w:rPr/>
        <w:t>that</w:t>
      </w:r>
      <w:r>
        <w:rPr>
          <w:spacing w:val="-9"/>
        </w:rPr>
        <w:t> </w:t>
      </w:r>
      <w:r>
        <w:rPr/>
        <w:t>derive</w:t>
      </w:r>
      <w:r>
        <w:rPr>
          <w:spacing w:val="-10"/>
        </w:rPr>
        <w:t> </w:t>
      </w:r>
      <w:r>
        <w:rPr/>
        <w:t>significant</w:t>
      </w:r>
      <w:r>
        <w:rPr>
          <w:spacing w:val="-9"/>
        </w:rPr>
        <w:t> </w:t>
      </w:r>
      <w:r>
        <w:rPr/>
        <w:t>government</w:t>
      </w:r>
      <w:r>
        <w:rPr>
          <w:spacing w:val="-9"/>
        </w:rPr>
        <w:t> </w:t>
      </w:r>
      <w:r>
        <w:rPr/>
        <w:t>revenue</w:t>
      </w:r>
      <w:r>
        <w:rPr>
          <w:spacing w:val="-10"/>
        </w:rPr>
        <w:t> </w:t>
      </w:r>
      <w:r>
        <w:rPr/>
        <w:t>from</w:t>
      </w:r>
      <w:r>
        <w:rPr>
          <w:spacing w:val="-9"/>
        </w:rPr>
        <w:t> </w:t>
      </w:r>
      <w:r>
        <w:rPr/>
        <w:t>the sale of oil.</w:t>
      </w:r>
      <w:r>
        <w:rPr>
          <w:spacing w:val="40"/>
        </w:rPr>
        <w:t> </w:t>
      </w:r>
      <w:r>
        <w:rPr/>
        <w:t>As oil demand continues to decline in the face of economic greening and technological improvement, states oriented around the sale of these commodities will be faced with fewer options. Although</w:t>
      </w:r>
      <w:r>
        <w:rPr>
          <w:spacing w:val="7"/>
        </w:rPr>
        <w:t> </w:t>
      </w:r>
      <w:r>
        <w:rPr/>
        <w:t>some</w:t>
      </w:r>
      <w:r>
        <w:rPr>
          <w:spacing w:val="8"/>
        </w:rPr>
        <w:t> </w:t>
      </w:r>
      <w:r>
        <w:rPr/>
        <w:t>may</w:t>
      </w:r>
      <w:r>
        <w:rPr>
          <w:spacing w:val="8"/>
        </w:rPr>
        <w:t> </w:t>
      </w:r>
      <w:r>
        <w:rPr/>
        <w:t>find</w:t>
      </w:r>
      <w:r>
        <w:rPr>
          <w:spacing w:val="8"/>
        </w:rPr>
        <w:t> </w:t>
      </w:r>
      <w:r>
        <w:rPr/>
        <w:t>alternative</w:t>
      </w:r>
      <w:r>
        <w:rPr>
          <w:spacing w:val="8"/>
        </w:rPr>
        <w:t> </w:t>
      </w:r>
      <w:r>
        <w:rPr/>
        <w:t>sources</w:t>
      </w:r>
      <w:r>
        <w:rPr>
          <w:spacing w:val="7"/>
        </w:rPr>
        <w:t> </w:t>
      </w:r>
      <w:r>
        <w:rPr/>
        <w:t>of</w:t>
      </w:r>
      <w:r>
        <w:rPr>
          <w:spacing w:val="8"/>
        </w:rPr>
        <w:t> </w:t>
      </w:r>
      <w:r>
        <w:rPr/>
        <w:t>revenue,</w:t>
      </w:r>
      <w:r>
        <w:rPr>
          <w:spacing w:val="10"/>
        </w:rPr>
        <w:t> </w:t>
      </w:r>
      <w:r>
        <w:rPr/>
        <w:t>it</w:t>
      </w:r>
      <w:r>
        <w:rPr>
          <w:spacing w:val="8"/>
        </w:rPr>
        <w:t> </w:t>
      </w:r>
      <w:r>
        <w:rPr/>
        <w:t>seems</w:t>
      </w:r>
      <w:r>
        <w:rPr>
          <w:spacing w:val="8"/>
        </w:rPr>
        <w:t> </w:t>
      </w:r>
      <w:r>
        <w:rPr/>
        <w:t>plausible</w:t>
      </w:r>
      <w:r>
        <w:rPr>
          <w:spacing w:val="8"/>
        </w:rPr>
        <w:t> </w:t>
      </w:r>
      <w:r>
        <w:rPr/>
        <w:t>to</w:t>
      </w:r>
      <w:r>
        <w:rPr>
          <w:spacing w:val="8"/>
        </w:rPr>
        <w:t> </w:t>
      </w:r>
      <w:r>
        <w:rPr/>
        <w:t>expect</w:t>
      </w:r>
      <w:r>
        <w:rPr>
          <w:spacing w:val="8"/>
        </w:rPr>
        <w:t> </w:t>
      </w:r>
      <w:r>
        <w:rPr/>
        <w:t>that</w:t>
      </w:r>
      <w:r>
        <w:rPr>
          <w:spacing w:val="9"/>
        </w:rPr>
        <w:t> </w:t>
      </w:r>
      <w:r>
        <w:rPr/>
        <w:t>this</w:t>
      </w:r>
      <w:r>
        <w:rPr>
          <w:spacing w:val="8"/>
        </w:rPr>
        <w:t> </w:t>
      </w:r>
      <w:r>
        <w:rPr/>
        <w:t>shift</w:t>
      </w:r>
      <w:r>
        <w:rPr>
          <w:spacing w:val="8"/>
        </w:rPr>
        <w:t> </w:t>
      </w:r>
      <w:r>
        <w:rPr>
          <w:spacing w:val="-5"/>
        </w:rPr>
        <w:t>in</w:t>
      </w:r>
    </w:p>
    <w:p>
      <w:pPr>
        <w:spacing w:before="34"/>
        <w:ind w:left="286" w:right="0" w:firstLine="0"/>
        <w:jc w:val="left"/>
        <w:rPr>
          <w:rFonts w:ascii="Bookman Old Style"/>
          <w:b w:val="0"/>
          <w:sz w:val="16"/>
        </w:rPr>
      </w:pPr>
      <w:r>
        <w:rPr>
          <w:rFonts w:ascii="Bookman Old Style"/>
          <w:b w:val="0"/>
          <w:sz w:val="16"/>
          <w:vertAlign w:val="superscript"/>
        </w:rPr>
        <w:t>71</w:t>
      </w:r>
      <w:r>
        <w:rPr>
          <w:rFonts w:ascii="Bookman Old Style"/>
          <w:b w:val="0"/>
          <w:sz w:val="16"/>
          <w:vertAlign w:val="baseline"/>
        </w:rPr>
        <w:t>Ebiede</w:t>
      </w:r>
      <w:r>
        <w:rPr>
          <w:rFonts w:ascii="Bookman Old Style"/>
          <w:b w:val="0"/>
          <w:spacing w:val="3"/>
          <w:sz w:val="16"/>
          <w:vertAlign w:val="baseline"/>
        </w:rPr>
        <w:t> </w:t>
      </w:r>
      <w:r>
        <w:rPr>
          <w:rFonts w:ascii="Bookman Old Style"/>
          <w:b w:val="0"/>
          <w:spacing w:val="-4"/>
          <w:sz w:val="16"/>
          <w:vertAlign w:val="baseline"/>
        </w:rPr>
        <w:t>2017</w:t>
      </w:r>
    </w:p>
    <w:p>
      <w:pPr>
        <w:spacing w:before="2"/>
        <w:ind w:left="286" w:right="0" w:firstLine="0"/>
        <w:jc w:val="left"/>
        <w:rPr>
          <w:rFonts w:ascii="Bookman Old Style"/>
          <w:b w:val="0"/>
          <w:sz w:val="16"/>
        </w:rPr>
      </w:pPr>
      <w:r>
        <w:rPr>
          <w:rFonts w:ascii="Bookman Old Style"/>
          <w:b w:val="0"/>
          <w:sz w:val="16"/>
          <w:vertAlign w:val="superscript"/>
        </w:rPr>
        <w:t>72</w:t>
      </w:r>
      <w:r>
        <w:rPr>
          <w:rFonts w:ascii="Bookman Old Style"/>
          <w:b w:val="0"/>
          <w:sz w:val="16"/>
          <w:vertAlign w:val="baseline"/>
        </w:rPr>
        <w:t>Ajodo-Adebanjoko</w:t>
      </w:r>
      <w:r>
        <w:rPr>
          <w:rFonts w:ascii="Bookman Old Style"/>
          <w:b w:val="0"/>
          <w:spacing w:val="-11"/>
          <w:sz w:val="16"/>
          <w:vertAlign w:val="baseline"/>
        </w:rPr>
        <w:t> </w:t>
      </w:r>
      <w:r>
        <w:rPr>
          <w:rFonts w:ascii="Bookman Old Style"/>
          <w:b w:val="0"/>
          <w:spacing w:val="-4"/>
          <w:sz w:val="16"/>
          <w:vertAlign w:val="baseline"/>
        </w:rPr>
        <w:t>2017</w:t>
      </w:r>
    </w:p>
    <w:p>
      <w:pPr>
        <w:spacing w:before="2"/>
        <w:ind w:left="286" w:right="0" w:firstLine="0"/>
        <w:jc w:val="left"/>
        <w:rPr>
          <w:rFonts w:ascii="Bookman Old Style"/>
          <w:b w:val="0"/>
          <w:sz w:val="16"/>
        </w:rPr>
      </w:pPr>
      <w:r>
        <w:rPr>
          <w:rFonts w:ascii="Bookman Old Style"/>
          <w:b w:val="0"/>
          <w:sz w:val="16"/>
          <w:vertAlign w:val="superscript"/>
        </w:rPr>
        <w:t>73</w:t>
      </w:r>
      <w:r>
        <w:rPr>
          <w:rFonts w:ascii="Bookman Old Style"/>
          <w:b w:val="0"/>
          <w:sz w:val="16"/>
          <w:vertAlign w:val="baseline"/>
        </w:rPr>
        <w:t>e.g.</w:t>
      </w:r>
      <w:r>
        <w:rPr>
          <w:rFonts w:ascii="Bookman Old Style"/>
          <w:b w:val="0"/>
          <w:spacing w:val="15"/>
          <w:sz w:val="16"/>
          <w:vertAlign w:val="baseline"/>
        </w:rPr>
        <w:t> </w:t>
      </w:r>
      <w:r>
        <w:rPr>
          <w:rFonts w:ascii="Bookman Old Style"/>
          <w:b w:val="0"/>
          <w:sz w:val="16"/>
          <w:vertAlign w:val="baseline"/>
        </w:rPr>
        <w:t>Bazzi</w:t>
      </w:r>
      <w:r>
        <w:rPr>
          <w:rFonts w:ascii="Bookman Old Style"/>
          <w:b w:val="0"/>
          <w:spacing w:val="-2"/>
          <w:sz w:val="16"/>
          <w:vertAlign w:val="baseline"/>
        </w:rPr>
        <w:t> </w:t>
      </w:r>
      <w:r>
        <w:rPr>
          <w:rFonts w:ascii="Bookman Old Style"/>
          <w:b w:val="0"/>
          <w:sz w:val="16"/>
          <w:vertAlign w:val="baseline"/>
        </w:rPr>
        <w:t>&amp;</w:t>
      </w:r>
      <w:r>
        <w:rPr>
          <w:rFonts w:ascii="Bookman Old Style"/>
          <w:b w:val="0"/>
          <w:spacing w:val="-1"/>
          <w:sz w:val="16"/>
          <w:vertAlign w:val="baseline"/>
        </w:rPr>
        <w:t> </w:t>
      </w:r>
      <w:r>
        <w:rPr>
          <w:rFonts w:ascii="Bookman Old Style"/>
          <w:b w:val="0"/>
          <w:sz w:val="16"/>
          <w:vertAlign w:val="baseline"/>
        </w:rPr>
        <w:t>Blattman</w:t>
      </w:r>
      <w:r>
        <w:rPr>
          <w:rFonts w:ascii="Bookman Old Style"/>
          <w:b w:val="0"/>
          <w:spacing w:val="-1"/>
          <w:sz w:val="16"/>
          <w:vertAlign w:val="baseline"/>
        </w:rPr>
        <w:t> </w:t>
      </w:r>
      <w:r>
        <w:rPr>
          <w:rFonts w:ascii="Bookman Old Style"/>
          <w:b w:val="0"/>
          <w:spacing w:val="-4"/>
          <w:sz w:val="16"/>
          <w:vertAlign w:val="baseline"/>
        </w:rPr>
        <w:t>2014</w:t>
      </w:r>
    </w:p>
    <w:p>
      <w:pPr>
        <w:spacing w:after="0"/>
        <w:jc w:val="left"/>
        <w:rPr>
          <w:rFonts w:ascii="Bookman Old Style"/>
          <w:sz w:val="16"/>
        </w:rPr>
        <w:sectPr>
          <w:pgSz w:w="12240" w:h="15840"/>
          <w:pgMar w:header="0" w:footer="1252" w:top="1100" w:bottom="1440" w:left="1280" w:right="40"/>
        </w:sectPr>
      </w:pPr>
    </w:p>
    <w:p>
      <w:pPr>
        <w:pStyle w:val="BodyText"/>
        <w:spacing w:before="49"/>
        <w:ind w:left="137"/>
      </w:pPr>
      <w:r>
        <w:rPr>
          <w:spacing w:val="-2"/>
        </w:rPr>
        <w:t>the</w:t>
      </w:r>
      <w:r>
        <w:rPr>
          <w:spacing w:val="6"/>
        </w:rPr>
        <w:t> </w:t>
      </w:r>
      <w:r>
        <w:rPr>
          <w:spacing w:val="-2"/>
        </w:rPr>
        <w:t>global</w:t>
      </w:r>
      <w:r>
        <w:rPr>
          <w:spacing w:val="7"/>
        </w:rPr>
        <w:t> </w:t>
      </w:r>
      <w:r>
        <w:rPr>
          <w:spacing w:val="-2"/>
        </w:rPr>
        <w:t>economy</w:t>
      </w:r>
      <w:r>
        <w:rPr>
          <w:spacing w:val="6"/>
        </w:rPr>
        <w:t> </w:t>
      </w:r>
      <w:r>
        <w:rPr>
          <w:spacing w:val="-2"/>
        </w:rPr>
        <w:t>could</w:t>
      </w:r>
      <w:r>
        <w:rPr>
          <w:spacing w:val="7"/>
        </w:rPr>
        <w:t> </w:t>
      </w:r>
      <w:r>
        <w:rPr>
          <w:spacing w:val="-2"/>
        </w:rPr>
        <w:t>result</w:t>
      </w:r>
      <w:r>
        <w:rPr>
          <w:spacing w:val="7"/>
        </w:rPr>
        <w:t> </w:t>
      </w:r>
      <w:r>
        <w:rPr>
          <w:spacing w:val="-2"/>
        </w:rPr>
        <w:t>in</w:t>
      </w:r>
      <w:r>
        <w:rPr>
          <w:spacing w:val="6"/>
        </w:rPr>
        <w:t> </w:t>
      </w:r>
      <w:r>
        <w:rPr>
          <w:spacing w:val="-2"/>
        </w:rPr>
        <w:t>significant</w:t>
      </w:r>
      <w:r>
        <w:rPr>
          <w:spacing w:val="7"/>
        </w:rPr>
        <w:t> </w:t>
      </w:r>
      <w:r>
        <w:rPr>
          <w:spacing w:val="-2"/>
        </w:rPr>
        <w:t>political</w:t>
      </w:r>
      <w:r>
        <w:rPr>
          <w:spacing w:val="7"/>
        </w:rPr>
        <w:t> </w:t>
      </w:r>
      <w:r>
        <w:rPr>
          <w:spacing w:val="-2"/>
        </w:rPr>
        <w:t>instability</w:t>
      </w:r>
      <w:r>
        <w:rPr>
          <w:spacing w:val="6"/>
        </w:rPr>
        <w:t> </w:t>
      </w:r>
      <w:r>
        <w:rPr>
          <w:spacing w:val="-2"/>
        </w:rPr>
        <w:t>in</w:t>
      </w:r>
      <w:r>
        <w:rPr>
          <w:spacing w:val="7"/>
        </w:rPr>
        <w:t> </w:t>
      </w:r>
      <w:r>
        <w:rPr>
          <w:spacing w:val="-2"/>
        </w:rPr>
        <w:t>vulnerable</w:t>
      </w:r>
      <w:r>
        <w:rPr>
          <w:spacing w:val="7"/>
        </w:rPr>
        <w:t> </w:t>
      </w:r>
      <w:r>
        <w:rPr>
          <w:spacing w:val="-2"/>
        </w:rPr>
        <w:t>states.</w:t>
      </w:r>
    </w:p>
    <w:p>
      <w:pPr>
        <w:pStyle w:val="BodyText"/>
        <w:spacing w:before="9"/>
        <w:rPr>
          <w:sz w:val="18"/>
        </w:rPr>
      </w:pPr>
    </w:p>
    <w:p>
      <w:pPr>
        <w:pStyle w:val="BodyText"/>
        <w:spacing w:line="316" w:lineRule="auto"/>
        <w:ind w:left="137" w:right="1793" w:firstLine="298"/>
        <w:jc w:val="both"/>
      </w:pPr>
      <w:r>
        <w:rPr/>
        <w:t>As we have attempted to demonstrate in this article, one of these effects is likely to be the reduced capacity for oil reliant states to prosecute ongoing civil conflicts.</w:t>
      </w:r>
      <w:r>
        <w:rPr>
          <w:spacing w:val="33"/>
        </w:rPr>
        <w:t> </w:t>
      </w:r>
      <w:r>
        <w:rPr/>
        <w:t>In most cases, we can expect this to lead to increased conflict intensity.</w:t>
      </w:r>
      <w:r>
        <w:rPr>
          <w:spacing w:val="38"/>
        </w:rPr>
        <w:t> </w:t>
      </w:r>
      <w:r>
        <w:rPr/>
        <w:t>Policy makers and political scientists should continue to examine </w:t>
      </w:r>
      <w:r>
        <w:rPr>
          <w:spacing w:val="-4"/>
        </w:rPr>
        <w:t>these relationships, and if possible develop solutions to reduce these unintended consequences of oil price </w:t>
      </w:r>
      <w:r>
        <w:rPr/>
        <w:t>fluctuations, and of the ultimate move away from fossil fuels.</w:t>
      </w:r>
    </w:p>
    <w:p>
      <w:pPr>
        <w:pStyle w:val="BodyText"/>
      </w:pPr>
    </w:p>
    <w:p>
      <w:pPr>
        <w:pStyle w:val="Heading1"/>
        <w:spacing w:before="144"/>
        <w:ind w:left="137" w:firstLine="0"/>
      </w:pPr>
      <w:r>
        <w:rPr>
          <w:spacing w:val="-2"/>
        </w:rPr>
        <w:t>References</w:t>
      </w:r>
    </w:p>
    <w:p>
      <w:pPr>
        <w:pStyle w:val="ListParagraph"/>
        <w:numPr>
          <w:ilvl w:val="0"/>
          <w:numId w:val="2"/>
        </w:numPr>
        <w:tabs>
          <w:tab w:pos="679" w:val="left" w:leader="none"/>
        </w:tabs>
        <w:spacing w:line="309" w:lineRule="auto" w:before="251" w:after="0"/>
        <w:ind w:left="137" w:right="1795" w:firstLine="298"/>
        <w:jc w:val="both"/>
        <w:rPr>
          <w:sz w:val="20"/>
        </w:rPr>
      </w:pPr>
      <w:r>
        <w:rPr>
          <w:sz w:val="20"/>
        </w:rPr>
        <w:t>Aghedo,</w:t>
      </w:r>
      <w:r>
        <w:rPr>
          <w:spacing w:val="-8"/>
          <w:sz w:val="20"/>
        </w:rPr>
        <w:t> </w:t>
      </w:r>
      <w:r>
        <w:rPr>
          <w:sz w:val="20"/>
        </w:rPr>
        <w:t>I.,</w:t>
      </w:r>
      <w:r>
        <w:rPr>
          <w:spacing w:val="-8"/>
          <w:sz w:val="20"/>
        </w:rPr>
        <w:t> </w:t>
      </w:r>
      <w:r>
        <w:rPr>
          <w:sz w:val="20"/>
        </w:rPr>
        <w:t>2013. Winning</w:t>
      </w:r>
      <w:r>
        <w:rPr>
          <w:spacing w:val="-8"/>
          <w:sz w:val="20"/>
        </w:rPr>
        <w:t> </w:t>
      </w:r>
      <w:r>
        <w:rPr>
          <w:sz w:val="20"/>
        </w:rPr>
        <w:t>the</w:t>
      </w:r>
      <w:r>
        <w:rPr>
          <w:spacing w:val="-8"/>
          <w:sz w:val="20"/>
        </w:rPr>
        <w:t> </w:t>
      </w:r>
      <w:r>
        <w:rPr>
          <w:sz w:val="20"/>
        </w:rPr>
        <w:t>war,</w:t>
      </w:r>
      <w:r>
        <w:rPr>
          <w:spacing w:val="-8"/>
          <w:sz w:val="20"/>
        </w:rPr>
        <w:t> </w:t>
      </w:r>
      <w:r>
        <w:rPr>
          <w:sz w:val="20"/>
        </w:rPr>
        <w:t>losing</w:t>
      </w:r>
      <w:r>
        <w:rPr>
          <w:spacing w:val="-8"/>
          <w:sz w:val="20"/>
        </w:rPr>
        <w:t> </w:t>
      </w:r>
      <w:r>
        <w:rPr>
          <w:sz w:val="20"/>
        </w:rPr>
        <w:t>the</w:t>
      </w:r>
      <w:r>
        <w:rPr>
          <w:spacing w:val="-8"/>
          <w:sz w:val="20"/>
        </w:rPr>
        <w:t> </w:t>
      </w:r>
      <w:r>
        <w:rPr>
          <w:sz w:val="20"/>
        </w:rPr>
        <w:t>peace: Amnesty</w:t>
      </w:r>
      <w:r>
        <w:rPr>
          <w:spacing w:val="-8"/>
          <w:sz w:val="20"/>
        </w:rPr>
        <w:t> </w:t>
      </w:r>
      <w:r>
        <w:rPr>
          <w:sz w:val="20"/>
        </w:rPr>
        <w:t>and</w:t>
      </w:r>
      <w:r>
        <w:rPr>
          <w:spacing w:val="-8"/>
          <w:sz w:val="20"/>
        </w:rPr>
        <w:t> </w:t>
      </w:r>
      <w:r>
        <w:rPr>
          <w:sz w:val="20"/>
        </w:rPr>
        <w:t>the</w:t>
      </w:r>
      <w:r>
        <w:rPr>
          <w:spacing w:val="-8"/>
          <w:sz w:val="20"/>
        </w:rPr>
        <w:t> </w:t>
      </w:r>
      <w:r>
        <w:rPr>
          <w:sz w:val="20"/>
        </w:rPr>
        <w:t>challenges</w:t>
      </w:r>
      <w:r>
        <w:rPr>
          <w:spacing w:val="-8"/>
          <w:sz w:val="20"/>
        </w:rPr>
        <w:t> </w:t>
      </w:r>
      <w:r>
        <w:rPr>
          <w:sz w:val="20"/>
        </w:rPr>
        <w:t>of</w:t>
      </w:r>
      <w:r>
        <w:rPr>
          <w:spacing w:val="-8"/>
          <w:sz w:val="20"/>
        </w:rPr>
        <w:t> </w:t>
      </w:r>
      <w:r>
        <w:rPr>
          <w:sz w:val="20"/>
        </w:rPr>
        <w:t>post-conflict </w:t>
      </w:r>
      <w:r>
        <w:rPr>
          <w:spacing w:val="-2"/>
          <w:sz w:val="20"/>
        </w:rPr>
        <w:t>peace-building in the Niger Delta, Nigeria.</w:t>
      </w:r>
      <w:r>
        <w:rPr>
          <w:spacing w:val="16"/>
          <w:sz w:val="20"/>
        </w:rPr>
        <w:t> </w:t>
      </w:r>
      <w:r>
        <w:rPr>
          <w:rFonts w:ascii="Bookman Old Style"/>
          <w:b w:val="0"/>
          <w:i/>
          <w:spacing w:val="-2"/>
          <w:sz w:val="20"/>
        </w:rPr>
        <w:t>Journal</w:t>
      </w:r>
      <w:r>
        <w:rPr>
          <w:rFonts w:ascii="Bookman Old Style"/>
          <w:b w:val="0"/>
          <w:i/>
          <w:spacing w:val="-9"/>
          <w:sz w:val="20"/>
        </w:rPr>
        <w:t> </w:t>
      </w:r>
      <w:r>
        <w:rPr>
          <w:rFonts w:ascii="Bookman Old Style"/>
          <w:b w:val="0"/>
          <w:i/>
          <w:spacing w:val="-2"/>
          <w:sz w:val="20"/>
        </w:rPr>
        <w:t>of</w:t>
      </w:r>
      <w:r>
        <w:rPr>
          <w:rFonts w:ascii="Bookman Old Style"/>
          <w:b w:val="0"/>
          <w:i/>
          <w:spacing w:val="-9"/>
          <w:sz w:val="20"/>
        </w:rPr>
        <w:t> </w:t>
      </w:r>
      <w:r>
        <w:rPr>
          <w:rFonts w:ascii="Bookman Old Style"/>
          <w:b w:val="0"/>
          <w:i/>
          <w:spacing w:val="-2"/>
          <w:sz w:val="20"/>
        </w:rPr>
        <w:t>Asian</w:t>
      </w:r>
      <w:r>
        <w:rPr>
          <w:rFonts w:ascii="Bookman Old Style"/>
          <w:b w:val="0"/>
          <w:i/>
          <w:spacing w:val="-9"/>
          <w:sz w:val="20"/>
        </w:rPr>
        <w:t> </w:t>
      </w:r>
      <w:r>
        <w:rPr>
          <w:rFonts w:ascii="Bookman Old Style"/>
          <w:b w:val="0"/>
          <w:i/>
          <w:spacing w:val="-2"/>
          <w:sz w:val="20"/>
        </w:rPr>
        <w:t>and</w:t>
      </w:r>
      <w:r>
        <w:rPr>
          <w:rFonts w:ascii="Bookman Old Style"/>
          <w:b w:val="0"/>
          <w:i/>
          <w:spacing w:val="-9"/>
          <w:sz w:val="20"/>
        </w:rPr>
        <w:t> </w:t>
      </w:r>
      <w:r>
        <w:rPr>
          <w:rFonts w:ascii="Bookman Old Style"/>
          <w:b w:val="0"/>
          <w:i/>
          <w:spacing w:val="-2"/>
          <w:sz w:val="20"/>
        </w:rPr>
        <w:t>African</w:t>
      </w:r>
      <w:r>
        <w:rPr>
          <w:rFonts w:ascii="Bookman Old Style"/>
          <w:b w:val="0"/>
          <w:i/>
          <w:spacing w:val="-9"/>
          <w:sz w:val="20"/>
        </w:rPr>
        <w:t> </w:t>
      </w:r>
      <w:r>
        <w:rPr>
          <w:rFonts w:ascii="Bookman Old Style"/>
          <w:b w:val="0"/>
          <w:i/>
          <w:spacing w:val="-2"/>
          <w:sz w:val="20"/>
        </w:rPr>
        <w:t>Studies</w:t>
      </w:r>
      <w:r>
        <w:rPr>
          <w:spacing w:val="-2"/>
          <w:sz w:val="20"/>
        </w:rPr>
        <w:t>, 48(3), pp.267-280</w:t>
      </w:r>
    </w:p>
    <w:p>
      <w:pPr>
        <w:pStyle w:val="ListParagraph"/>
        <w:numPr>
          <w:ilvl w:val="0"/>
          <w:numId w:val="2"/>
        </w:numPr>
        <w:tabs>
          <w:tab w:pos="678" w:val="left" w:leader="none"/>
        </w:tabs>
        <w:spacing w:line="309" w:lineRule="auto" w:before="2" w:after="0"/>
        <w:ind w:left="137" w:right="1794" w:firstLine="298"/>
        <w:jc w:val="both"/>
        <w:rPr>
          <w:sz w:val="20"/>
        </w:rPr>
      </w:pPr>
      <w:r>
        <w:rPr>
          <w:sz w:val="20"/>
        </w:rPr>
        <w:t>Ajodo-Adebanjoko,</w:t>
      </w:r>
      <w:r>
        <w:rPr>
          <w:spacing w:val="-8"/>
          <w:sz w:val="20"/>
        </w:rPr>
        <w:t> </w:t>
      </w:r>
      <w:r>
        <w:rPr>
          <w:sz w:val="20"/>
        </w:rPr>
        <w:t>A.,</w:t>
      </w:r>
      <w:r>
        <w:rPr>
          <w:spacing w:val="-7"/>
          <w:sz w:val="20"/>
        </w:rPr>
        <w:t> </w:t>
      </w:r>
      <w:r>
        <w:rPr>
          <w:sz w:val="20"/>
        </w:rPr>
        <w:t>2017.</w:t>
      </w:r>
      <w:r>
        <w:rPr>
          <w:spacing w:val="9"/>
          <w:sz w:val="20"/>
        </w:rPr>
        <w:t> </w:t>
      </w:r>
      <w:r>
        <w:rPr>
          <w:sz w:val="20"/>
        </w:rPr>
        <w:t>Towards</w:t>
      </w:r>
      <w:r>
        <w:rPr>
          <w:spacing w:val="-8"/>
          <w:sz w:val="20"/>
        </w:rPr>
        <w:t> </w:t>
      </w:r>
      <w:r>
        <w:rPr>
          <w:sz w:val="20"/>
        </w:rPr>
        <w:t>ending</w:t>
      </w:r>
      <w:r>
        <w:rPr>
          <w:spacing w:val="-9"/>
          <w:sz w:val="20"/>
        </w:rPr>
        <w:t> </w:t>
      </w:r>
      <w:r>
        <w:rPr>
          <w:sz w:val="20"/>
        </w:rPr>
        <w:t>conflict</w:t>
      </w:r>
      <w:r>
        <w:rPr>
          <w:spacing w:val="-9"/>
          <w:sz w:val="20"/>
        </w:rPr>
        <w:t> </w:t>
      </w:r>
      <w:r>
        <w:rPr>
          <w:sz w:val="20"/>
        </w:rPr>
        <w:t>and</w:t>
      </w:r>
      <w:r>
        <w:rPr>
          <w:spacing w:val="-9"/>
          <w:sz w:val="20"/>
        </w:rPr>
        <w:t> </w:t>
      </w:r>
      <w:r>
        <w:rPr>
          <w:sz w:val="20"/>
        </w:rPr>
        <w:t>insecurity</w:t>
      </w:r>
      <w:r>
        <w:rPr>
          <w:spacing w:val="-9"/>
          <w:sz w:val="20"/>
        </w:rPr>
        <w:t> </w:t>
      </w:r>
      <w:r>
        <w:rPr>
          <w:sz w:val="20"/>
        </w:rPr>
        <w:t>in</w:t>
      </w:r>
      <w:r>
        <w:rPr>
          <w:spacing w:val="-9"/>
          <w:sz w:val="20"/>
        </w:rPr>
        <w:t> </w:t>
      </w:r>
      <w:r>
        <w:rPr>
          <w:sz w:val="20"/>
        </w:rPr>
        <w:t>the</w:t>
      </w:r>
      <w:r>
        <w:rPr>
          <w:spacing w:val="-9"/>
          <w:sz w:val="20"/>
        </w:rPr>
        <w:t> </w:t>
      </w:r>
      <w:r>
        <w:rPr>
          <w:sz w:val="20"/>
        </w:rPr>
        <w:t>Niger</w:t>
      </w:r>
      <w:r>
        <w:rPr>
          <w:spacing w:val="-9"/>
          <w:sz w:val="20"/>
        </w:rPr>
        <w:t> </w:t>
      </w:r>
      <w:r>
        <w:rPr>
          <w:sz w:val="20"/>
        </w:rPr>
        <w:t>Delta</w:t>
      </w:r>
      <w:r>
        <w:rPr>
          <w:spacing w:val="-9"/>
          <w:sz w:val="20"/>
        </w:rPr>
        <w:t> </w:t>
      </w:r>
      <w:r>
        <w:rPr>
          <w:sz w:val="20"/>
        </w:rPr>
        <w:t>region: A collective</w:t>
      </w:r>
      <w:r>
        <w:rPr>
          <w:spacing w:val="-4"/>
          <w:sz w:val="20"/>
        </w:rPr>
        <w:t> </w:t>
      </w:r>
      <w:r>
        <w:rPr>
          <w:sz w:val="20"/>
        </w:rPr>
        <w:t>non-violent</w:t>
      </w:r>
      <w:r>
        <w:rPr>
          <w:spacing w:val="-4"/>
          <w:sz w:val="20"/>
        </w:rPr>
        <w:t> </w:t>
      </w:r>
      <w:r>
        <w:rPr>
          <w:sz w:val="20"/>
        </w:rPr>
        <w:t>approach.</w:t>
      </w:r>
      <w:r>
        <w:rPr>
          <w:spacing w:val="11"/>
          <w:sz w:val="20"/>
        </w:rPr>
        <w:t> </w:t>
      </w:r>
      <w:r>
        <w:rPr>
          <w:rFonts w:ascii="Bookman Old Style"/>
          <w:b w:val="0"/>
          <w:i/>
          <w:sz w:val="20"/>
        </w:rPr>
        <w:t>African</w:t>
      </w:r>
      <w:r>
        <w:rPr>
          <w:rFonts w:ascii="Bookman Old Style"/>
          <w:b w:val="0"/>
          <w:i/>
          <w:spacing w:val="-12"/>
          <w:sz w:val="20"/>
        </w:rPr>
        <w:t> </w:t>
      </w:r>
      <w:r>
        <w:rPr>
          <w:rFonts w:ascii="Bookman Old Style"/>
          <w:b w:val="0"/>
          <w:i/>
          <w:sz w:val="20"/>
        </w:rPr>
        <w:t>Journal</w:t>
      </w:r>
      <w:r>
        <w:rPr>
          <w:rFonts w:ascii="Bookman Old Style"/>
          <w:b w:val="0"/>
          <w:i/>
          <w:spacing w:val="-12"/>
          <w:sz w:val="20"/>
        </w:rPr>
        <w:t> </w:t>
      </w:r>
      <w:r>
        <w:rPr>
          <w:rFonts w:ascii="Bookman Old Style"/>
          <w:b w:val="0"/>
          <w:i/>
          <w:sz w:val="20"/>
        </w:rPr>
        <w:t>on</w:t>
      </w:r>
      <w:r>
        <w:rPr>
          <w:rFonts w:ascii="Bookman Old Style"/>
          <w:b w:val="0"/>
          <w:i/>
          <w:spacing w:val="-12"/>
          <w:sz w:val="20"/>
        </w:rPr>
        <w:t> </w:t>
      </w:r>
      <w:r>
        <w:rPr>
          <w:rFonts w:ascii="Bookman Old Style"/>
          <w:b w:val="0"/>
          <w:i/>
          <w:sz w:val="20"/>
        </w:rPr>
        <w:t>Conflict</w:t>
      </w:r>
      <w:r>
        <w:rPr>
          <w:rFonts w:ascii="Bookman Old Style"/>
          <w:b w:val="0"/>
          <w:i/>
          <w:spacing w:val="-12"/>
          <w:sz w:val="20"/>
        </w:rPr>
        <w:t> </w:t>
      </w:r>
      <w:r>
        <w:rPr>
          <w:rFonts w:ascii="Bookman Old Style"/>
          <w:b w:val="0"/>
          <w:i/>
          <w:sz w:val="20"/>
        </w:rPr>
        <w:t>Resolution</w:t>
      </w:r>
      <w:r>
        <w:rPr>
          <w:sz w:val="20"/>
        </w:rPr>
        <w:t>,</w:t>
      </w:r>
      <w:r>
        <w:rPr>
          <w:spacing w:val="-4"/>
          <w:sz w:val="20"/>
        </w:rPr>
        <w:t> </w:t>
      </w:r>
      <w:r>
        <w:rPr>
          <w:sz w:val="20"/>
        </w:rPr>
        <w:t>17(1),</w:t>
      </w:r>
      <w:r>
        <w:rPr>
          <w:spacing w:val="-4"/>
          <w:sz w:val="20"/>
        </w:rPr>
        <w:t> </w:t>
      </w:r>
      <w:r>
        <w:rPr>
          <w:sz w:val="20"/>
        </w:rPr>
        <w:t>pp.9-27.</w:t>
      </w:r>
    </w:p>
    <w:p>
      <w:pPr>
        <w:pStyle w:val="ListParagraph"/>
        <w:numPr>
          <w:ilvl w:val="0"/>
          <w:numId w:val="2"/>
        </w:numPr>
        <w:tabs>
          <w:tab w:pos="676" w:val="left" w:leader="none"/>
        </w:tabs>
        <w:spacing w:line="309" w:lineRule="auto" w:before="2" w:after="0"/>
        <w:ind w:left="137" w:right="1797" w:firstLine="298"/>
        <w:jc w:val="both"/>
        <w:rPr>
          <w:sz w:val="20"/>
        </w:rPr>
      </w:pPr>
      <w:r>
        <w:rPr>
          <w:sz w:val="20"/>
        </w:rPr>
        <w:t>Bakirtas,</w:t>
      </w:r>
      <w:r>
        <w:rPr>
          <w:spacing w:val="-8"/>
          <w:sz w:val="20"/>
        </w:rPr>
        <w:t> </w:t>
      </w:r>
      <w:r>
        <w:rPr>
          <w:sz w:val="20"/>
        </w:rPr>
        <w:t>T.</w:t>
      </w:r>
      <w:r>
        <w:rPr>
          <w:spacing w:val="-10"/>
          <w:sz w:val="20"/>
        </w:rPr>
        <w:t> </w:t>
      </w:r>
      <w:r>
        <w:rPr>
          <w:sz w:val="20"/>
        </w:rPr>
        <w:t>and</w:t>
      </w:r>
      <w:r>
        <w:rPr>
          <w:spacing w:val="-10"/>
          <w:sz w:val="20"/>
        </w:rPr>
        <w:t> </w:t>
      </w:r>
      <w:r>
        <w:rPr>
          <w:sz w:val="20"/>
        </w:rPr>
        <w:t>Akpolat,</w:t>
      </w:r>
      <w:r>
        <w:rPr>
          <w:spacing w:val="-8"/>
          <w:sz w:val="20"/>
        </w:rPr>
        <w:t> </w:t>
      </w:r>
      <w:r>
        <w:rPr>
          <w:sz w:val="20"/>
        </w:rPr>
        <w:t>A.G.,</w:t>
      </w:r>
      <w:r>
        <w:rPr>
          <w:spacing w:val="-8"/>
          <w:sz w:val="20"/>
        </w:rPr>
        <w:t> </w:t>
      </w:r>
      <w:r>
        <w:rPr>
          <w:sz w:val="20"/>
        </w:rPr>
        <w:t>2020.</w:t>
      </w:r>
      <w:r>
        <w:rPr>
          <w:spacing w:val="11"/>
          <w:sz w:val="20"/>
        </w:rPr>
        <w:t> </w:t>
      </w:r>
      <w:r>
        <w:rPr>
          <w:sz w:val="20"/>
        </w:rPr>
        <w:t>The</w:t>
      </w:r>
      <w:r>
        <w:rPr>
          <w:spacing w:val="-10"/>
          <w:sz w:val="20"/>
        </w:rPr>
        <w:t> </w:t>
      </w:r>
      <w:r>
        <w:rPr>
          <w:sz w:val="20"/>
        </w:rPr>
        <w:t>relationship</w:t>
      </w:r>
      <w:r>
        <w:rPr>
          <w:spacing w:val="-10"/>
          <w:sz w:val="20"/>
        </w:rPr>
        <w:t> </w:t>
      </w:r>
      <w:r>
        <w:rPr>
          <w:sz w:val="20"/>
        </w:rPr>
        <w:t>between</w:t>
      </w:r>
      <w:r>
        <w:rPr>
          <w:spacing w:val="-10"/>
          <w:sz w:val="20"/>
        </w:rPr>
        <w:t> </w:t>
      </w:r>
      <w:r>
        <w:rPr>
          <w:sz w:val="20"/>
        </w:rPr>
        <w:t>crude</w:t>
      </w:r>
      <w:r>
        <w:rPr>
          <w:spacing w:val="-10"/>
          <w:sz w:val="20"/>
        </w:rPr>
        <w:t> </w:t>
      </w:r>
      <w:r>
        <w:rPr>
          <w:sz w:val="20"/>
        </w:rPr>
        <w:t>oil</w:t>
      </w:r>
      <w:r>
        <w:rPr>
          <w:spacing w:val="-10"/>
          <w:sz w:val="20"/>
        </w:rPr>
        <w:t> </w:t>
      </w:r>
      <w:r>
        <w:rPr>
          <w:sz w:val="20"/>
        </w:rPr>
        <w:t>exports,</w:t>
      </w:r>
      <w:r>
        <w:rPr>
          <w:spacing w:val="-8"/>
          <w:sz w:val="20"/>
        </w:rPr>
        <w:t> </w:t>
      </w:r>
      <w:r>
        <w:rPr>
          <w:sz w:val="20"/>
        </w:rPr>
        <w:t>crude</w:t>
      </w:r>
      <w:r>
        <w:rPr>
          <w:spacing w:val="-10"/>
          <w:sz w:val="20"/>
        </w:rPr>
        <w:t> </w:t>
      </w:r>
      <w:r>
        <w:rPr>
          <w:sz w:val="20"/>
        </w:rPr>
        <w:t>oil</w:t>
      </w:r>
      <w:r>
        <w:rPr>
          <w:spacing w:val="-10"/>
          <w:sz w:val="20"/>
        </w:rPr>
        <w:t> </w:t>
      </w:r>
      <w:r>
        <w:rPr>
          <w:sz w:val="20"/>
        </w:rPr>
        <w:t>prices and military expenditures in some OPEC countries.</w:t>
      </w:r>
      <w:r>
        <w:rPr>
          <w:spacing w:val="22"/>
          <w:sz w:val="20"/>
        </w:rPr>
        <w:t> </w:t>
      </w:r>
      <w:r>
        <w:rPr>
          <w:rFonts w:ascii="Bookman Old Style"/>
          <w:b w:val="0"/>
          <w:i/>
          <w:sz w:val="20"/>
        </w:rPr>
        <w:t>Resources</w:t>
      </w:r>
      <w:r>
        <w:rPr>
          <w:rFonts w:ascii="Bookman Old Style"/>
          <w:b w:val="0"/>
          <w:i/>
          <w:spacing w:val="-5"/>
          <w:sz w:val="20"/>
        </w:rPr>
        <w:t> </w:t>
      </w:r>
      <w:r>
        <w:rPr>
          <w:rFonts w:ascii="Bookman Old Style"/>
          <w:b w:val="0"/>
          <w:i/>
          <w:sz w:val="20"/>
        </w:rPr>
        <w:t>Policy</w:t>
      </w:r>
      <w:r>
        <w:rPr>
          <w:sz w:val="20"/>
        </w:rPr>
        <w:t>, 101659, pp.67.</w:t>
      </w:r>
    </w:p>
    <w:p>
      <w:pPr>
        <w:pStyle w:val="ListParagraph"/>
        <w:numPr>
          <w:ilvl w:val="0"/>
          <w:numId w:val="2"/>
        </w:numPr>
        <w:tabs>
          <w:tab w:pos="679" w:val="left" w:leader="none"/>
        </w:tabs>
        <w:spacing w:line="309" w:lineRule="auto" w:before="2" w:after="0"/>
        <w:ind w:left="137" w:right="1795" w:firstLine="298"/>
        <w:jc w:val="both"/>
        <w:rPr>
          <w:sz w:val="20"/>
        </w:rPr>
      </w:pPr>
      <w:r>
        <w:rPr>
          <w:sz w:val="20"/>
        </w:rPr>
        <w:t>Ali,</w:t>
      </w:r>
      <w:r>
        <w:rPr>
          <w:spacing w:val="-3"/>
          <w:sz w:val="20"/>
        </w:rPr>
        <w:t> </w:t>
      </w:r>
      <w:r>
        <w:rPr>
          <w:sz w:val="20"/>
        </w:rPr>
        <w:t>H.E.</w:t>
      </w:r>
      <w:r>
        <w:rPr>
          <w:spacing w:val="-4"/>
          <w:sz w:val="20"/>
        </w:rPr>
        <w:t> </w:t>
      </w:r>
      <w:r>
        <w:rPr>
          <w:sz w:val="20"/>
        </w:rPr>
        <w:t>and</w:t>
      </w:r>
      <w:r>
        <w:rPr>
          <w:spacing w:val="-4"/>
          <w:sz w:val="20"/>
        </w:rPr>
        <w:t> </w:t>
      </w:r>
      <w:r>
        <w:rPr>
          <w:sz w:val="20"/>
        </w:rPr>
        <w:t>Abdellatif,</w:t>
      </w:r>
      <w:r>
        <w:rPr>
          <w:spacing w:val="-3"/>
          <w:sz w:val="20"/>
        </w:rPr>
        <w:t> </w:t>
      </w:r>
      <w:r>
        <w:rPr>
          <w:sz w:val="20"/>
        </w:rPr>
        <w:t>O.A.,</w:t>
      </w:r>
      <w:r>
        <w:rPr>
          <w:spacing w:val="-3"/>
          <w:sz w:val="20"/>
        </w:rPr>
        <w:t> </w:t>
      </w:r>
      <w:r>
        <w:rPr>
          <w:sz w:val="20"/>
        </w:rPr>
        <w:t>2015. Military</w:t>
      </w:r>
      <w:r>
        <w:rPr>
          <w:spacing w:val="-3"/>
          <w:sz w:val="20"/>
        </w:rPr>
        <w:t> </w:t>
      </w:r>
      <w:r>
        <w:rPr>
          <w:sz w:val="20"/>
        </w:rPr>
        <w:t>expenditures</w:t>
      </w:r>
      <w:r>
        <w:rPr>
          <w:spacing w:val="-3"/>
          <w:sz w:val="20"/>
        </w:rPr>
        <w:t> </w:t>
      </w:r>
      <w:r>
        <w:rPr>
          <w:sz w:val="20"/>
        </w:rPr>
        <w:t>and</w:t>
      </w:r>
      <w:r>
        <w:rPr>
          <w:spacing w:val="-4"/>
          <w:sz w:val="20"/>
        </w:rPr>
        <w:t> </w:t>
      </w:r>
      <w:r>
        <w:rPr>
          <w:sz w:val="20"/>
        </w:rPr>
        <w:t>natural</w:t>
      </w:r>
      <w:r>
        <w:rPr>
          <w:spacing w:val="-3"/>
          <w:sz w:val="20"/>
        </w:rPr>
        <w:t> </w:t>
      </w:r>
      <w:r>
        <w:rPr>
          <w:sz w:val="20"/>
        </w:rPr>
        <w:t>resources: evidence</w:t>
      </w:r>
      <w:r>
        <w:rPr>
          <w:spacing w:val="-3"/>
          <w:sz w:val="20"/>
        </w:rPr>
        <w:t> </w:t>
      </w:r>
      <w:r>
        <w:rPr>
          <w:sz w:val="20"/>
        </w:rPr>
        <w:t>from rentier states in the Middle East and North Africa.</w:t>
      </w:r>
      <w:r>
        <w:rPr>
          <w:spacing w:val="16"/>
          <w:sz w:val="20"/>
        </w:rPr>
        <w:t> </w:t>
      </w:r>
      <w:r>
        <w:rPr>
          <w:rFonts w:ascii="Bookman Old Style"/>
          <w:b w:val="0"/>
          <w:i/>
          <w:sz w:val="20"/>
        </w:rPr>
        <w:t>Defence</w:t>
      </w:r>
      <w:r>
        <w:rPr>
          <w:rFonts w:ascii="Bookman Old Style"/>
          <w:b w:val="0"/>
          <w:i/>
          <w:spacing w:val="-8"/>
          <w:sz w:val="20"/>
        </w:rPr>
        <w:t> </w:t>
      </w:r>
      <w:r>
        <w:rPr>
          <w:rFonts w:ascii="Bookman Old Style"/>
          <w:b w:val="0"/>
          <w:i/>
          <w:sz w:val="20"/>
        </w:rPr>
        <w:t>and</w:t>
      </w:r>
      <w:r>
        <w:rPr>
          <w:rFonts w:ascii="Bookman Old Style"/>
          <w:b w:val="0"/>
          <w:i/>
          <w:spacing w:val="-8"/>
          <w:sz w:val="20"/>
        </w:rPr>
        <w:t> </w:t>
      </w:r>
      <w:r>
        <w:rPr>
          <w:rFonts w:ascii="Bookman Old Style"/>
          <w:b w:val="0"/>
          <w:i/>
          <w:sz w:val="20"/>
        </w:rPr>
        <w:t>Peace</w:t>
      </w:r>
      <w:r>
        <w:rPr>
          <w:rFonts w:ascii="Bookman Old Style"/>
          <w:b w:val="0"/>
          <w:i/>
          <w:spacing w:val="-8"/>
          <w:sz w:val="20"/>
        </w:rPr>
        <w:t> </w:t>
      </w:r>
      <w:r>
        <w:rPr>
          <w:rFonts w:ascii="Bookman Old Style"/>
          <w:b w:val="0"/>
          <w:i/>
          <w:sz w:val="20"/>
        </w:rPr>
        <w:t>Economics</w:t>
      </w:r>
      <w:r>
        <w:rPr>
          <w:sz w:val="20"/>
        </w:rPr>
        <w:t>, 26(1), pp.5-13.</w:t>
      </w:r>
    </w:p>
    <w:p>
      <w:pPr>
        <w:pStyle w:val="ListParagraph"/>
        <w:numPr>
          <w:ilvl w:val="0"/>
          <w:numId w:val="2"/>
        </w:numPr>
        <w:tabs>
          <w:tab w:pos="697" w:val="left" w:leader="none"/>
        </w:tabs>
        <w:spacing w:line="309" w:lineRule="auto" w:before="1" w:after="0"/>
        <w:ind w:left="137" w:right="1794" w:firstLine="298"/>
        <w:jc w:val="both"/>
        <w:rPr>
          <w:sz w:val="20"/>
        </w:rPr>
      </w:pPr>
      <w:r>
        <w:rPr>
          <w:sz w:val="20"/>
        </w:rPr>
        <w:t>Ali, H. E.,</w:t>
      </w:r>
      <w:r>
        <w:rPr>
          <w:spacing w:val="40"/>
          <w:sz w:val="20"/>
        </w:rPr>
        <w:t> </w:t>
      </w:r>
      <w:r>
        <w:rPr>
          <w:sz w:val="20"/>
        </w:rPr>
        <w:t>Bhuiyan, S. (2022). Governance, natural resources rent, and infrastructure develop- ment:</w:t>
      </w:r>
      <w:r>
        <w:rPr>
          <w:spacing w:val="23"/>
          <w:sz w:val="20"/>
        </w:rPr>
        <w:t> </w:t>
      </w:r>
      <w:r>
        <w:rPr>
          <w:sz w:val="20"/>
        </w:rPr>
        <w:t>Evidence from the Middle East and North Africa.</w:t>
      </w:r>
      <w:r>
        <w:rPr>
          <w:spacing w:val="23"/>
          <w:sz w:val="20"/>
        </w:rPr>
        <w:t> </w:t>
      </w:r>
      <w:r>
        <w:rPr>
          <w:rFonts w:ascii="Bookman Old Style"/>
          <w:b w:val="0"/>
          <w:i/>
          <w:sz w:val="20"/>
        </w:rPr>
        <w:t>Politics</w:t>
      </w:r>
      <w:r>
        <w:rPr>
          <w:rFonts w:ascii="Bookman Old Style"/>
          <w:b w:val="0"/>
          <w:i/>
          <w:spacing w:val="-3"/>
          <w:sz w:val="20"/>
        </w:rPr>
        <w:t> </w:t>
      </w:r>
      <w:r>
        <w:rPr>
          <w:rFonts w:ascii="Bookman Old Style"/>
          <w:b w:val="0"/>
          <w:i/>
          <w:sz w:val="20"/>
        </w:rPr>
        <w:t>&amp;</w:t>
      </w:r>
      <w:r>
        <w:rPr>
          <w:rFonts w:ascii="Bookman Old Style"/>
          <w:b w:val="0"/>
          <w:i/>
          <w:spacing w:val="-3"/>
          <w:sz w:val="20"/>
        </w:rPr>
        <w:t> </w:t>
      </w:r>
      <w:r>
        <w:rPr>
          <w:rFonts w:ascii="Bookman Old Style"/>
          <w:b w:val="0"/>
          <w:i/>
          <w:sz w:val="20"/>
        </w:rPr>
        <w:t>Policy</w:t>
      </w:r>
      <w:r>
        <w:rPr>
          <w:sz w:val="20"/>
        </w:rPr>
        <w:t>, 50(2), 408-440.</w:t>
      </w:r>
    </w:p>
    <w:p>
      <w:pPr>
        <w:pStyle w:val="ListParagraph"/>
        <w:numPr>
          <w:ilvl w:val="0"/>
          <w:numId w:val="2"/>
        </w:numPr>
        <w:tabs>
          <w:tab w:pos="772" w:val="left" w:leader="none"/>
        </w:tabs>
        <w:spacing w:line="309" w:lineRule="auto" w:before="2" w:after="0"/>
        <w:ind w:left="137" w:right="1795" w:firstLine="298"/>
        <w:jc w:val="both"/>
        <w:rPr>
          <w:sz w:val="20"/>
        </w:rPr>
      </w:pPr>
      <w:r>
        <w:rPr>
          <w:sz w:val="20"/>
        </w:rPr>
        <w:t>Al-Mawali, N., 2015.</w:t>
      </w:r>
      <w:r>
        <w:rPr>
          <w:spacing w:val="40"/>
          <w:sz w:val="20"/>
        </w:rPr>
        <w:t> </w:t>
      </w:r>
      <w:r>
        <w:rPr>
          <w:sz w:val="20"/>
        </w:rPr>
        <w:t>Do natural resources of rentier states promote military expenditures? evidence</w:t>
      </w:r>
      <w:r>
        <w:rPr>
          <w:spacing w:val="-6"/>
          <w:sz w:val="20"/>
        </w:rPr>
        <w:t> </w:t>
      </w:r>
      <w:r>
        <w:rPr>
          <w:sz w:val="20"/>
        </w:rPr>
        <w:t>from</w:t>
      </w:r>
      <w:r>
        <w:rPr>
          <w:spacing w:val="-5"/>
          <w:sz w:val="20"/>
        </w:rPr>
        <w:t> </w:t>
      </w:r>
      <w:r>
        <w:rPr>
          <w:sz w:val="20"/>
        </w:rPr>
        <w:t>GCC</w:t>
      </w:r>
      <w:r>
        <w:rPr>
          <w:spacing w:val="-5"/>
          <w:sz w:val="20"/>
        </w:rPr>
        <w:t> </w:t>
      </w:r>
      <w:r>
        <w:rPr>
          <w:sz w:val="20"/>
        </w:rPr>
        <w:t>Countries.</w:t>
      </w:r>
      <w:r>
        <w:rPr>
          <w:spacing w:val="9"/>
          <w:sz w:val="20"/>
        </w:rPr>
        <w:t> </w:t>
      </w:r>
      <w:r>
        <w:rPr>
          <w:sz w:val="20"/>
        </w:rPr>
        <w:t>J</w:t>
      </w:r>
      <w:r>
        <w:rPr>
          <w:rFonts w:ascii="Bookman Old Style"/>
          <w:b w:val="0"/>
          <w:i/>
          <w:sz w:val="20"/>
        </w:rPr>
        <w:t>ournal</w:t>
      </w:r>
      <w:r>
        <w:rPr>
          <w:rFonts w:ascii="Bookman Old Style"/>
          <w:b w:val="0"/>
          <w:i/>
          <w:spacing w:val="-14"/>
          <w:sz w:val="20"/>
        </w:rPr>
        <w:t> </w:t>
      </w:r>
      <w:r>
        <w:rPr>
          <w:rFonts w:ascii="Bookman Old Style"/>
          <w:b w:val="0"/>
          <w:i/>
          <w:sz w:val="20"/>
        </w:rPr>
        <w:t>of</w:t>
      </w:r>
      <w:r>
        <w:rPr>
          <w:rFonts w:ascii="Bookman Old Style"/>
          <w:b w:val="0"/>
          <w:i/>
          <w:spacing w:val="-14"/>
          <w:sz w:val="20"/>
        </w:rPr>
        <w:t> </w:t>
      </w:r>
      <w:r>
        <w:rPr>
          <w:rFonts w:ascii="Bookman Old Style"/>
          <w:b w:val="0"/>
          <w:i/>
          <w:sz w:val="20"/>
        </w:rPr>
        <w:t>Economic</w:t>
      </w:r>
      <w:r>
        <w:rPr>
          <w:rFonts w:ascii="Bookman Old Style"/>
          <w:b w:val="0"/>
          <w:i/>
          <w:spacing w:val="-13"/>
          <w:sz w:val="20"/>
        </w:rPr>
        <w:t> </w:t>
      </w:r>
      <w:r>
        <w:rPr>
          <w:rFonts w:ascii="Bookman Old Style"/>
          <w:b w:val="0"/>
          <w:i/>
          <w:sz w:val="20"/>
        </w:rPr>
        <w:t>&amp;</w:t>
      </w:r>
      <w:r>
        <w:rPr>
          <w:rFonts w:ascii="Bookman Old Style"/>
          <w:b w:val="0"/>
          <w:i/>
          <w:spacing w:val="-14"/>
          <w:sz w:val="20"/>
        </w:rPr>
        <w:t> </w:t>
      </w:r>
      <w:r>
        <w:rPr>
          <w:rFonts w:ascii="Bookman Old Style"/>
          <w:b w:val="0"/>
          <w:i/>
          <w:sz w:val="20"/>
        </w:rPr>
        <w:t>Financial</w:t>
      </w:r>
      <w:r>
        <w:rPr>
          <w:rFonts w:ascii="Bookman Old Style"/>
          <w:b w:val="0"/>
          <w:i/>
          <w:spacing w:val="-14"/>
          <w:sz w:val="20"/>
        </w:rPr>
        <w:t> </w:t>
      </w:r>
      <w:r>
        <w:rPr>
          <w:rFonts w:ascii="Bookman Old Style"/>
          <w:b w:val="0"/>
          <w:i/>
          <w:sz w:val="20"/>
        </w:rPr>
        <w:t>Studies</w:t>
      </w:r>
      <w:r>
        <w:rPr>
          <w:sz w:val="20"/>
        </w:rPr>
        <w:t>,</w:t>
      </w:r>
      <w:r>
        <w:rPr>
          <w:spacing w:val="-5"/>
          <w:sz w:val="20"/>
        </w:rPr>
        <w:t> </w:t>
      </w:r>
      <w:r>
        <w:rPr>
          <w:sz w:val="20"/>
        </w:rPr>
        <w:t>3(03),</w:t>
      </w:r>
      <w:r>
        <w:rPr>
          <w:spacing w:val="-5"/>
          <w:sz w:val="20"/>
        </w:rPr>
        <w:t> </w:t>
      </w:r>
      <w:r>
        <w:rPr>
          <w:sz w:val="20"/>
        </w:rPr>
        <w:t>pp.49-53.</w:t>
      </w:r>
    </w:p>
    <w:p>
      <w:pPr>
        <w:pStyle w:val="ListParagraph"/>
        <w:numPr>
          <w:ilvl w:val="0"/>
          <w:numId w:val="2"/>
        </w:numPr>
        <w:tabs>
          <w:tab w:pos="709" w:val="left" w:leader="none"/>
        </w:tabs>
        <w:spacing w:line="316" w:lineRule="auto" w:before="2" w:after="0"/>
        <w:ind w:left="137" w:right="1795" w:firstLine="298"/>
        <w:jc w:val="both"/>
        <w:rPr>
          <w:sz w:val="20"/>
        </w:rPr>
      </w:pPr>
      <w:r>
        <w:rPr>
          <w:sz w:val="20"/>
        </w:rPr>
        <w:t>Balcells, L.,</w:t>
      </w:r>
      <w:r>
        <w:rPr>
          <w:spacing w:val="40"/>
          <w:sz w:val="20"/>
        </w:rPr>
        <w:t> </w:t>
      </w:r>
      <w:r>
        <w:rPr>
          <w:sz w:val="20"/>
        </w:rPr>
        <w:t>Kalyvas, S. N. (2014).</w:t>
      </w:r>
      <w:r>
        <w:rPr>
          <w:spacing w:val="40"/>
          <w:sz w:val="20"/>
        </w:rPr>
        <w:t> </w:t>
      </w:r>
      <w:r>
        <w:rPr>
          <w:sz w:val="20"/>
        </w:rPr>
        <w:t>Does warfare matter?</w:t>
      </w:r>
      <w:r>
        <w:rPr>
          <w:spacing w:val="40"/>
          <w:sz w:val="20"/>
        </w:rPr>
        <w:t> </w:t>
      </w:r>
      <w:r>
        <w:rPr>
          <w:sz w:val="20"/>
        </w:rPr>
        <w:t>Severity, duration, and outcomes of civil wars.</w:t>
      </w:r>
      <w:r>
        <w:rPr>
          <w:spacing w:val="32"/>
          <w:sz w:val="20"/>
        </w:rPr>
        <w:t> </w:t>
      </w:r>
      <w:r>
        <w:rPr>
          <w:sz w:val="20"/>
        </w:rPr>
        <w:t>Journal of Conflict Resolution, 58(8), 1390-1418.</w:t>
      </w:r>
    </w:p>
    <w:p>
      <w:pPr>
        <w:pStyle w:val="ListParagraph"/>
        <w:numPr>
          <w:ilvl w:val="0"/>
          <w:numId w:val="2"/>
        </w:numPr>
        <w:tabs>
          <w:tab w:pos="748" w:val="left" w:leader="none"/>
        </w:tabs>
        <w:spacing w:line="309" w:lineRule="auto" w:before="0" w:after="0"/>
        <w:ind w:left="137" w:right="1795" w:firstLine="298"/>
        <w:jc w:val="both"/>
        <w:rPr>
          <w:sz w:val="20"/>
        </w:rPr>
      </w:pPr>
      <w:r>
        <w:rPr>
          <w:sz w:val="20"/>
        </w:rPr>
        <w:t>Bazzi, S. and Blattman, C., 2014.</w:t>
      </w:r>
      <w:r>
        <w:rPr>
          <w:spacing w:val="40"/>
          <w:sz w:val="20"/>
        </w:rPr>
        <w:t> </w:t>
      </w:r>
      <w:r>
        <w:rPr>
          <w:sz w:val="20"/>
        </w:rPr>
        <w:t>Economic shocks and conflict:</w:t>
      </w:r>
      <w:r>
        <w:rPr>
          <w:spacing w:val="40"/>
          <w:sz w:val="20"/>
        </w:rPr>
        <w:t> </w:t>
      </w:r>
      <w:r>
        <w:rPr>
          <w:sz w:val="20"/>
        </w:rPr>
        <w:t>Evidence from commodity </w:t>
      </w:r>
      <w:r>
        <w:rPr>
          <w:spacing w:val="-2"/>
          <w:sz w:val="20"/>
        </w:rPr>
        <w:t>prices.</w:t>
      </w:r>
      <w:r>
        <w:rPr>
          <w:spacing w:val="13"/>
          <w:sz w:val="20"/>
        </w:rPr>
        <w:t> </w:t>
      </w:r>
      <w:r>
        <w:rPr>
          <w:rFonts w:ascii="Bookman Old Style"/>
          <w:b w:val="0"/>
          <w:i/>
          <w:spacing w:val="-2"/>
          <w:sz w:val="20"/>
        </w:rPr>
        <w:t>American</w:t>
      </w:r>
      <w:r>
        <w:rPr>
          <w:rFonts w:ascii="Bookman Old Style"/>
          <w:b w:val="0"/>
          <w:i/>
          <w:spacing w:val="-11"/>
          <w:sz w:val="20"/>
        </w:rPr>
        <w:t> </w:t>
      </w:r>
      <w:r>
        <w:rPr>
          <w:rFonts w:ascii="Bookman Old Style"/>
          <w:b w:val="0"/>
          <w:i/>
          <w:spacing w:val="-2"/>
          <w:sz w:val="20"/>
        </w:rPr>
        <w:t>Economic</w:t>
      </w:r>
      <w:r>
        <w:rPr>
          <w:rFonts w:ascii="Bookman Old Style"/>
          <w:b w:val="0"/>
          <w:i/>
          <w:spacing w:val="-11"/>
          <w:sz w:val="20"/>
        </w:rPr>
        <w:t> </w:t>
      </w:r>
      <w:r>
        <w:rPr>
          <w:rFonts w:ascii="Bookman Old Style"/>
          <w:b w:val="0"/>
          <w:i/>
          <w:spacing w:val="-2"/>
          <w:sz w:val="20"/>
        </w:rPr>
        <w:t>Journal:</w:t>
      </w:r>
      <w:r>
        <w:rPr>
          <w:rFonts w:ascii="Bookman Old Style"/>
          <w:b w:val="0"/>
          <w:i/>
          <w:sz w:val="20"/>
        </w:rPr>
        <w:t> </w:t>
      </w:r>
      <w:r>
        <w:rPr>
          <w:rFonts w:ascii="Bookman Old Style"/>
          <w:b w:val="0"/>
          <w:i/>
          <w:spacing w:val="-2"/>
          <w:sz w:val="20"/>
        </w:rPr>
        <w:t>Macroeconomics</w:t>
      </w:r>
      <w:r>
        <w:rPr>
          <w:spacing w:val="-2"/>
          <w:sz w:val="20"/>
        </w:rPr>
        <w:t>, 6(4), pp.1-38.</w:t>
      </w:r>
    </w:p>
    <w:p>
      <w:pPr>
        <w:pStyle w:val="ListParagraph"/>
        <w:numPr>
          <w:ilvl w:val="0"/>
          <w:numId w:val="2"/>
        </w:numPr>
        <w:tabs>
          <w:tab w:pos="759" w:val="left" w:leader="none"/>
        </w:tabs>
        <w:spacing w:line="309" w:lineRule="auto" w:before="0" w:after="0"/>
        <w:ind w:left="137" w:right="1795" w:firstLine="298"/>
        <w:jc w:val="both"/>
        <w:rPr>
          <w:sz w:val="20"/>
        </w:rPr>
      </w:pPr>
      <w:r>
        <w:rPr>
          <w:sz w:val="20"/>
        </w:rPr>
        <w:t>Bellin, E., 2004.</w:t>
      </w:r>
      <w:r>
        <w:rPr>
          <w:spacing w:val="40"/>
          <w:sz w:val="20"/>
        </w:rPr>
        <w:t> </w:t>
      </w:r>
      <w:r>
        <w:rPr>
          <w:sz w:val="20"/>
        </w:rPr>
        <w:t>The robustness of authoritarianism in the Middle East:</w:t>
      </w:r>
      <w:r>
        <w:rPr>
          <w:spacing w:val="40"/>
          <w:sz w:val="20"/>
        </w:rPr>
        <w:t> </w:t>
      </w:r>
      <w:r>
        <w:rPr>
          <w:sz w:val="20"/>
        </w:rPr>
        <w:t>Exceptionalism in comparative</w:t>
      </w:r>
      <w:r>
        <w:rPr>
          <w:spacing w:val="-6"/>
          <w:sz w:val="20"/>
        </w:rPr>
        <w:t> </w:t>
      </w:r>
      <w:r>
        <w:rPr>
          <w:sz w:val="20"/>
        </w:rPr>
        <w:t>perspective.</w:t>
      </w:r>
      <w:r>
        <w:rPr>
          <w:spacing w:val="11"/>
          <w:sz w:val="20"/>
        </w:rPr>
        <w:t> </w:t>
      </w:r>
      <w:r>
        <w:rPr>
          <w:rFonts w:ascii="Bookman Old Style"/>
          <w:b w:val="0"/>
          <w:i/>
          <w:sz w:val="20"/>
        </w:rPr>
        <w:t>Comparative</w:t>
      </w:r>
      <w:r>
        <w:rPr>
          <w:rFonts w:ascii="Bookman Old Style"/>
          <w:b w:val="0"/>
          <w:i/>
          <w:spacing w:val="-13"/>
          <w:sz w:val="20"/>
        </w:rPr>
        <w:t> </w:t>
      </w:r>
      <w:r>
        <w:rPr>
          <w:rFonts w:ascii="Bookman Old Style"/>
          <w:b w:val="0"/>
          <w:i/>
          <w:sz w:val="20"/>
        </w:rPr>
        <w:t>politics</w:t>
      </w:r>
      <w:r>
        <w:rPr>
          <w:sz w:val="20"/>
        </w:rPr>
        <w:t>,</w:t>
      </w:r>
      <w:r>
        <w:rPr>
          <w:spacing w:val="-6"/>
          <w:sz w:val="20"/>
        </w:rPr>
        <w:t> </w:t>
      </w:r>
      <w:r>
        <w:rPr>
          <w:sz w:val="20"/>
        </w:rPr>
        <w:t>pp.139-157.</w:t>
      </w:r>
    </w:p>
    <w:p>
      <w:pPr>
        <w:pStyle w:val="ListParagraph"/>
        <w:numPr>
          <w:ilvl w:val="0"/>
          <w:numId w:val="2"/>
        </w:numPr>
        <w:tabs>
          <w:tab w:pos="855" w:val="left" w:leader="none"/>
        </w:tabs>
        <w:spacing w:line="309" w:lineRule="auto" w:before="1" w:after="0"/>
        <w:ind w:left="137" w:right="1794" w:firstLine="298"/>
        <w:jc w:val="both"/>
        <w:rPr>
          <w:sz w:val="20"/>
        </w:rPr>
      </w:pPr>
      <w:r>
        <w:rPr>
          <w:sz w:val="20"/>
        </w:rPr>
        <w:t>Blair, G., Christensen, D. and Rudkin, A., 2021.</w:t>
      </w:r>
      <w:r>
        <w:rPr>
          <w:spacing w:val="40"/>
          <w:sz w:val="20"/>
        </w:rPr>
        <w:t> </w:t>
      </w:r>
      <w:r>
        <w:rPr>
          <w:sz w:val="20"/>
        </w:rPr>
        <w:t>Do commodity price shocks cause armed conflict?</w:t>
      </w:r>
      <w:r>
        <w:rPr>
          <w:spacing w:val="-2"/>
          <w:sz w:val="20"/>
        </w:rPr>
        <w:t> </w:t>
      </w:r>
      <w:r>
        <w:rPr>
          <w:sz w:val="20"/>
        </w:rPr>
        <w:t>A</w:t>
      </w:r>
      <w:r>
        <w:rPr>
          <w:spacing w:val="-9"/>
          <w:sz w:val="20"/>
        </w:rPr>
        <w:t> </w:t>
      </w:r>
      <w:r>
        <w:rPr>
          <w:sz w:val="20"/>
        </w:rPr>
        <w:t>meta-analysis</w:t>
      </w:r>
      <w:r>
        <w:rPr>
          <w:spacing w:val="-10"/>
          <w:sz w:val="20"/>
        </w:rPr>
        <w:t> </w:t>
      </w:r>
      <w:r>
        <w:rPr>
          <w:sz w:val="20"/>
        </w:rPr>
        <w:t>of</w:t>
      </w:r>
      <w:r>
        <w:rPr>
          <w:spacing w:val="-10"/>
          <w:sz w:val="20"/>
        </w:rPr>
        <w:t> </w:t>
      </w:r>
      <w:r>
        <w:rPr>
          <w:sz w:val="20"/>
        </w:rPr>
        <w:t>natural</w:t>
      </w:r>
      <w:r>
        <w:rPr>
          <w:spacing w:val="-10"/>
          <w:sz w:val="20"/>
        </w:rPr>
        <w:t> </w:t>
      </w:r>
      <w:r>
        <w:rPr>
          <w:sz w:val="20"/>
        </w:rPr>
        <w:t>experiments.</w:t>
      </w:r>
      <w:r>
        <w:rPr>
          <w:spacing w:val="11"/>
          <w:sz w:val="20"/>
        </w:rPr>
        <w:t> </w:t>
      </w:r>
      <w:r>
        <w:rPr>
          <w:rFonts w:ascii="Bookman Old Style"/>
          <w:b w:val="0"/>
          <w:i/>
          <w:sz w:val="20"/>
        </w:rPr>
        <w:t>American</w:t>
      </w:r>
      <w:r>
        <w:rPr>
          <w:rFonts w:ascii="Bookman Old Style"/>
          <w:b w:val="0"/>
          <w:i/>
          <w:spacing w:val="-15"/>
          <w:sz w:val="20"/>
        </w:rPr>
        <w:t> </w:t>
      </w:r>
      <w:r>
        <w:rPr>
          <w:rFonts w:ascii="Bookman Old Style"/>
          <w:b w:val="0"/>
          <w:i/>
          <w:sz w:val="20"/>
        </w:rPr>
        <w:t>Political</w:t>
      </w:r>
      <w:r>
        <w:rPr>
          <w:rFonts w:ascii="Bookman Old Style"/>
          <w:b w:val="0"/>
          <w:i/>
          <w:spacing w:val="-15"/>
          <w:sz w:val="20"/>
        </w:rPr>
        <w:t> </w:t>
      </w:r>
      <w:r>
        <w:rPr>
          <w:rFonts w:ascii="Bookman Old Style"/>
          <w:b w:val="0"/>
          <w:i/>
          <w:sz w:val="20"/>
        </w:rPr>
        <w:t>Science</w:t>
      </w:r>
      <w:r>
        <w:rPr>
          <w:rFonts w:ascii="Bookman Old Style"/>
          <w:b w:val="0"/>
          <w:i/>
          <w:spacing w:val="-15"/>
          <w:sz w:val="20"/>
        </w:rPr>
        <w:t> </w:t>
      </w:r>
      <w:r>
        <w:rPr>
          <w:rFonts w:ascii="Bookman Old Style"/>
          <w:b w:val="0"/>
          <w:i/>
          <w:sz w:val="20"/>
        </w:rPr>
        <w:t>Review</w:t>
      </w:r>
      <w:r>
        <w:rPr>
          <w:sz w:val="20"/>
        </w:rPr>
        <w:t>,</w:t>
      </w:r>
      <w:r>
        <w:rPr>
          <w:spacing w:val="-9"/>
          <w:sz w:val="20"/>
        </w:rPr>
        <w:t> </w:t>
      </w:r>
      <w:r>
        <w:rPr>
          <w:sz w:val="20"/>
        </w:rPr>
        <w:t>115(2),</w:t>
      </w:r>
      <w:r>
        <w:rPr>
          <w:spacing w:val="-9"/>
          <w:sz w:val="20"/>
        </w:rPr>
        <w:t> </w:t>
      </w:r>
      <w:r>
        <w:rPr>
          <w:sz w:val="20"/>
        </w:rPr>
        <w:t>pp.709- </w:t>
      </w:r>
      <w:r>
        <w:rPr>
          <w:spacing w:val="-4"/>
          <w:sz w:val="20"/>
        </w:rPr>
        <w:t>716.</w:t>
      </w:r>
    </w:p>
    <w:p>
      <w:pPr>
        <w:pStyle w:val="ListParagraph"/>
        <w:numPr>
          <w:ilvl w:val="0"/>
          <w:numId w:val="2"/>
        </w:numPr>
        <w:tabs>
          <w:tab w:pos="774" w:val="left" w:leader="none"/>
        </w:tabs>
        <w:spacing w:line="316" w:lineRule="auto" w:before="8" w:after="0"/>
        <w:ind w:left="137" w:right="1794" w:firstLine="298"/>
        <w:jc w:val="both"/>
        <w:rPr>
          <w:sz w:val="20"/>
        </w:rPr>
      </w:pPr>
      <w:r>
        <w:rPr>
          <w:spacing w:val="8"/>
          <w:w w:val="104"/>
          <w:sz w:val="20"/>
        </w:rPr>
        <w:t>Br</w:t>
      </w:r>
      <w:r>
        <w:rPr>
          <w:spacing w:val="-97"/>
          <w:w w:val="98"/>
          <w:sz w:val="20"/>
        </w:rPr>
        <w:t>u</w:t>
      </w:r>
      <w:r>
        <w:rPr>
          <w:spacing w:val="13"/>
          <w:w w:val="101"/>
          <w:sz w:val="20"/>
        </w:rPr>
        <w:t>¨</w:t>
      </w:r>
      <w:r>
        <w:rPr>
          <w:spacing w:val="2"/>
          <w:w w:val="99"/>
          <w:sz w:val="20"/>
        </w:rPr>
        <w:t>c</w:t>
      </w:r>
      <w:r>
        <w:rPr>
          <w:spacing w:val="8"/>
          <w:w w:val="97"/>
          <w:sz w:val="20"/>
        </w:rPr>
        <w:t>kner,</w:t>
      </w:r>
      <w:r>
        <w:rPr>
          <w:spacing w:val="-9"/>
          <w:w w:val="99"/>
          <w:sz w:val="20"/>
        </w:rPr>
        <w:t> </w:t>
      </w:r>
      <w:r>
        <w:rPr>
          <w:spacing w:val="-2"/>
          <w:sz w:val="20"/>
        </w:rPr>
        <w:t>M.</w:t>
      </w:r>
      <w:r>
        <w:rPr>
          <w:spacing w:val="-11"/>
          <w:sz w:val="20"/>
        </w:rPr>
        <w:t> </w:t>
      </w:r>
      <w:r>
        <w:rPr>
          <w:spacing w:val="-2"/>
          <w:sz w:val="20"/>
        </w:rPr>
        <w:t>(2010).</w:t>
      </w:r>
      <w:r>
        <w:rPr>
          <w:spacing w:val="-10"/>
          <w:sz w:val="20"/>
        </w:rPr>
        <w:t> </w:t>
      </w:r>
      <w:r>
        <w:rPr>
          <w:spacing w:val="-2"/>
          <w:sz w:val="20"/>
        </w:rPr>
        <w:t>Population</w:t>
      </w:r>
      <w:r>
        <w:rPr>
          <w:spacing w:val="-10"/>
          <w:sz w:val="20"/>
        </w:rPr>
        <w:t> </w:t>
      </w:r>
      <w:r>
        <w:rPr>
          <w:spacing w:val="-2"/>
          <w:sz w:val="20"/>
        </w:rPr>
        <w:t>size</w:t>
      </w:r>
      <w:r>
        <w:rPr>
          <w:spacing w:val="-10"/>
          <w:sz w:val="20"/>
        </w:rPr>
        <w:t> </w:t>
      </w:r>
      <w:r>
        <w:rPr>
          <w:spacing w:val="-2"/>
          <w:sz w:val="20"/>
        </w:rPr>
        <w:t>and</w:t>
      </w:r>
      <w:r>
        <w:rPr>
          <w:spacing w:val="-10"/>
          <w:sz w:val="20"/>
        </w:rPr>
        <w:t> </w:t>
      </w:r>
      <w:r>
        <w:rPr>
          <w:spacing w:val="-2"/>
          <w:sz w:val="20"/>
        </w:rPr>
        <w:t>civil</w:t>
      </w:r>
      <w:r>
        <w:rPr>
          <w:spacing w:val="-10"/>
          <w:sz w:val="20"/>
        </w:rPr>
        <w:t> </w:t>
      </w:r>
      <w:r>
        <w:rPr>
          <w:spacing w:val="-2"/>
          <w:sz w:val="20"/>
        </w:rPr>
        <w:t>conflict</w:t>
      </w:r>
      <w:r>
        <w:rPr>
          <w:spacing w:val="-10"/>
          <w:sz w:val="20"/>
        </w:rPr>
        <w:t> </w:t>
      </w:r>
      <w:r>
        <w:rPr>
          <w:spacing w:val="-2"/>
          <w:sz w:val="20"/>
        </w:rPr>
        <w:t>risk:</w:t>
      </w:r>
      <w:r>
        <w:rPr>
          <w:spacing w:val="7"/>
          <w:sz w:val="20"/>
        </w:rPr>
        <w:t> </w:t>
      </w:r>
      <w:r>
        <w:rPr>
          <w:spacing w:val="-2"/>
          <w:sz w:val="20"/>
        </w:rPr>
        <w:t>is</w:t>
      </w:r>
      <w:r>
        <w:rPr>
          <w:spacing w:val="-10"/>
          <w:sz w:val="20"/>
        </w:rPr>
        <w:t> </w:t>
      </w:r>
      <w:r>
        <w:rPr>
          <w:spacing w:val="-2"/>
          <w:sz w:val="20"/>
        </w:rPr>
        <w:t>there</w:t>
      </w:r>
      <w:r>
        <w:rPr>
          <w:spacing w:val="-10"/>
          <w:sz w:val="20"/>
        </w:rPr>
        <w:t> </w:t>
      </w:r>
      <w:r>
        <w:rPr>
          <w:spacing w:val="-2"/>
          <w:sz w:val="20"/>
        </w:rPr>
        <w:t>a</w:t>
      </w:r>
      <w:r>
        <w:rPr>
          <w:spacing w:val="-10"/>
          <w:sz w:val="20"/>
        </w:rPr>
        <w:t> </w:t>
      </w:r>
      <w:r>
        <w:rPr>
          <w:spacing w:val="-2"/>
          <w:sz w:val="20"/>
        </w:rPr>
        <w:t>causal</w:t>
      </w:r>
      <w:r>
        <w:rPr>
          <w:spacing w:val="-10"/>
          <w:sz w:val="20"/>
        </w:rPr>
        <w:t> </w:t>
      </w:r>
      <w:r>
        <w:rPr>
          <w:spacing w:val="-2"/>
          <w:sz w:val="20"/>
        </w:rPr>
        <w:t>link?.</w:t>
      </w:r>
      <w:r>
        <w:rPr>
          <w:spacing w:val="12"/>
          <w:sz w:val="20"/>
        </w:rPr>
        <w:t> </w:t>
      </w:r>
      <w:r>
        <w:rPr>
          <w:spacing w:val="-2"/>
          <w:sz w:val="20"/>
        </w:rPr>
        <w:t>The</w:t>
      </w:r>
      <w:r>
        <w:rPr>
          <w:spacing w:val="-11"/>
          <w:sz w:val="20"/>
        </w:rPr>
        <w:t> </w:t>
      </w:r>
      <w:r>
        <w:rPr>
          <w:spacing w:val="-2"/>
          <w:sz w:val="20"/>
        </w:rPr>
        <w:t>Economic </w:t>
      </w:r>
      <w:r>
        <w:rPr>
          <w:sz w:val="20"/>
        </w:rPr>
        <w:t>Journal, 120(544), 535-550.</w:t>
      </w:r>
    </w:p>
    <w:p>
      <w:pPr>
        <w:pStyle w:val="ListParagraph"/>
        <w:numPr>
          <w:ilvl w:val="0"/>
          <w:numId w:val="2"/>
        </w:numPr>
        <w:tabs>
          <w:tab w:pos="827" w:val="left" w:leader="none"/>
        </w:tabs>
        <w:spacing w:line="309" w:lineRule="auto" w:before="0" w:after="0"/>
        <w:ind w:left="137" w:right="1797" w:firstLine="298"/>
        <w:jc w:val="both"/>
        <w:rPr>
          <w:sz w:val="20"/>
        </w:rPr>
      </w:pPr>
      <w:r>
        <w:rPr>
          <w:sz w:val="20"/>
        </w:rPr>
        <w:t>Buhaug, H., Croicu, M., Fjelde, H. and von Uexkull, N., 2021.</w:t>
      </w:r>
      <w:r>
        <w:rPr>
          <w:spacing w:val="40"/>
          <w:sz w:val="20"/>
        </w:rPr>
        <w:t> </w:t>
      </w:r>
      <w:r>
        <w:rPr>
          <w:sz w:val="20"/>
        </w:rPr>
        <w:t>A conditional model of local income shock and civil conflict.</w:t>
      </w:r>
      <w:r>
        <w:rPr>
          <w:spacing w:val="20"/>
          <w:sz w:val="20"/>
        </w:rPr>
        <w:t> </w:t>
      </w:r>
      <w:r>
        <w:rPr>
          <w:rFonts w:ascii="Bookman Old Style"/>
          <w:b w:val="0"/>
          <w:i/>
          <w:sz w:val="20"/>
        </w:rPr>
        <w:t>The</w:t>
      </w:r>
      <w:r>
        <w:rPr>
          <w:rFonts w:ascii="Bookman Old Style"/>
          <w:b w:val="0"/>
          <w:i/>
          <w:spacing w:val="-5"/>
          <w:sz w:val="20"/>
        </w:rPr>
        <w:t> </w:t>
      </w:r>
      <w:r>
        <w:rPr>
          <w:rFonts w:ascii="Bookman Old Style"/>
          <w:b w:val="0"/>
          <w:i/>
          <w:sz w:val="20"/>
        </w:rPr>
        <w:t>Journal</w:t>
      </w:r>
      <w:r>
        <w:rPr>
          <w:rFonts w:ascii="Bookman Old Style"/>
          <w:b w:val="0"/>
          <w:i/>
          <w:spacing w:val="-5"/>
          <w:sz w:val="20"/>
        </w:rPr>
        <w:t> </w:t>
      </w:r>
      <w:r>
        <w:rPr>
          <w:rFonts w:ascii="Bookman Old Style"/>
          <w:b w:val="0"/>
          <w:i/>
          <w:sz w:val="20"/>
        </w:rPr>
        <w:t>of</w:t>
      </w:r>
      <w:r>
        <w:rPr>
          <w:rFonts w:ascii="Bookman Old Style"/>
          <w:b w:val="0"/>
          <w:i/>
          <w:spacing w:val="-5"/>
          <w:sz w:val="20"/>
        </w:rPr>
        <w:t> </w:t>
      </w:r>
      <w:r>
        <w:rPr>
          <w:rFonts w:ascii="Bookman Old Style"/>
          <w:b w:val="0"/>
          <w:i/>
          <w:sz w:val="20"/>
        </w:rPr>
        <w:t>Politics</w:t>
      </w:r>
      <w:r>
        <w:rPr>
          <w:sz w:val="20"/>
        </w:rPr>
        <w:t>, 83(1), pp.354-366.</w:t>
      </w:r>
    </w:p>
    <w:p>
      <w:pPr>
        <w:pStyle w:val="ListParagraph"/>
        <w:numPr>
          <w:ilvl w:val="0"/>
          <w:numId w:val="2"/>
        </w:numPr>
        <w:tabs>
          <w:tab w:pos="795" w:val="left" w:leader="none"/>
        </w:tabs>
        <w:spacing w:line="304" w:lineRule="auto" w:before="0" w:after="0"/>
        <w:ind w:left="137" w:right="1795" w:firstLine="298"/>
        <w:jc w:val="both"/>
        <w:rPr>
          <w:sz w:val="20"/>
        </w:rPr>
      </w:pPr>
      <w:r>
        <w:rPr>
          <w:spacing w:val="-4"/>
          <w:sz w:val="20"/>
        </w:rPr>
        <w:t>Campbell,</w:t>
      </w:r>
      <w:r>
        <w:rPr>
          <w:spacing w:val="-9"/>
          <w:sz w:val="20"/>
        </w:rPr>
        <w:t> </w:t>
      </w:r>
      <w:r>
        <w:rPr>
          <w:spacing w:val="-4"/>
          <w:sz w:val="20"/>
        </w:rPr>
        <w:t>J.,</w:t>
      </w:r>
      <w:r>
        <w:rPr>
          <w:spacing w:val="-8"/>
          <w:sz w:val="20"/>
        </w:rPr>
        <w:t> </w:t>
      </w:r>
      <w:r>
        <w:rPr>
          <w:spacing w:val="-4"/>
          <w:sz w:val="20"/>
        </w:rPr>
        <w:t>2020.</w:t>
      </w:r>
      <w:r>
        <w:rPr>
          <w:spacing w:val="-8"/>
          <w:sz w:val="20"/>
        </w:rPr>
        <w:t> </w:t>
      </w:r>
      <w:r>
        <w:rPr>
          <w:rFonts w:ascii="Bookman Old Style"/>
          <w:b w:val="0"/>
          <w:i/>
          <w:spacing w:val="-4"/>
          <w:sz w:val="20"/>
        </w:rPr>
        <w:t>Nigeria</w:t>
      </w:r>
      <w:r>
        <w:rPr>
          <w:rFonts w:ascii="Bookman Old Style"/>
          <w:b w:val="0"/>
          <w:i/>
          <w:spacing w:val="-11"/>
          <w:sz w:val="20"/>
        </w:rPr>
        <w:t> </w:t>
      </w:r>
      <w:r>
        <w:rPr>
          <w:rFonts w:ascii="Bookman Old Style"/>
          <w:b w:val="0"/>
          <w:i/>
          <w:spacing w:val="-4"/>
          <w:sz w:val="20"/>
        </w:rPr>
        <w:t>and</w:t>
      </w:r>
      <w:r>
        <w:rPr>
          <w:rFonts w:ascii="Bookman Old Style"/>
          <w:b w:val="0"/>
          <w:i/>
          <w:spacing w:val="-11"/>
          <w:sz w:val="20"/>
        </w:rPr>
        <w:t> </w:t>
      </w:r>
      <w:r>
        <w:rPr>
          <w:rFonts w:ascii="Bookman Old Style"/>
          <w:b w:val="0"/>
          <w:i/>
          <w:spacing w:val="-4"/>
          <w:sz w:val="20"/>
        </w:rPr>
        <w:t>the</w:t>
      </w:r>
      <w:r>
        <w:rPr>
          <w:rFonts w:ascii="Bookman Old Style"/>
          <w:b w:val="0"/>
          <w:i/>
          <w:spacing w:val="-11"/>
          <w:sz w:val="20"/>
        </w:rPr>
        <w:t> </w:t>
      </w:r>
      <w:r>
        <w:rPr>
          <w:rFonts w:ascii="Bookman Old Style"/>
          <w:b w:val="0"/>
          <w:i/>
          <w:spacing w:val="-4"/>
          <w:sz w:val="20"/>
        </w:rPr>
        <w:t>Nation-State:</w:t>
      </w:r>
      <w:r>
        <w:rPr>
          <w:rFonts w:ascii="Bookman Old Style"/>
          <w:b w:val="0"/>
          <w:i/>
          <w:spacing w:val="-11"/>
          <w:sz w:val="20"/>
        </w:rPr>
        <w:t> </w:t>
      </w:r>
      <w:r>
        <w:rPr>
          <w:rFonts w:ascii="Bookman Old Style"/>
          <w:b w:val="0"/>
          <w:i/>
          <w:spacing w:val="-4"/>
          <w:sz w:val="20"/>
        </w:rPr>
        <w:t>Rethinking</w:t>
      </w:r>
      <w:r>
        <w:rPr>
          <w:rFonts w:ascii="Bookman Old Style"/>
          <w:b w:val="0"/>
          <w:i/>
          <w:spacing w:val="-11"/>
          <w:sz w:val="20"/>
        </w:rPr>
        <w:t> </w:t>
      </w:r>
      <w:r>
        <w:rPr>
          <w:rFonts w:ascii="Bookman Old Style"/>
          <w:b w:val="0"/>
          <w:i/>
          <w:spacing w:val="-4"/>
          <w:sz w:val="20"/>
        </w:rPr>
        <w:t>Diplomacy</w:t>
      </w:r>
      <w:r>
        <w:rPr>
          <w:rFonts w:ascii="Bookman Old Style"/>
          <w:b w:val="0"/>
          <w:i/>
          <w:spacing w:val="-11"/>
          <w:sz w:val="20"/>
        </w:rPr>
        <w:t> </w:t>
      </w:r>
      <w:r>
        <w:rPr>
          <w:rFonts w:ascii="Bookman Old Style"/>
          <w:b w:val="0"/>
          <w:i/>
          <w:spacing w:val="-4"/>
          <w:sz w:val="20"/>
        </w:rPr>
        <w:t>with</w:t>
      </w:r>
      <w:r>
        <w:rPr>
          <w:rFonts w:ascii="Bookman Old Style"/>
          <w:b w:val="0"/>
          <w:i/>
          <w:spacing w:val="-11"/>
          <w:sz w:val="20"/>
        </w:rPr>
        <w:t> </w:t>
      </w:r>
      <w:r>
        <w:rPr>
          <w:rFonts w:ascii="Bookman Old Style"/>
          <w:b w:val="0"/>
          <w:i/>
          <w:spacing w:val="-4"/>
          <w:sz w:val="20"/>
        </w:rPr>
        <w:t>the</w:t>
      </w:r>
      <w:r>
        <w:rPr>
          <w:rFonts w:ascii="Bookman Old Style"/>
          <w:b w:val="0"/>
          <w:i/>
          <w:spacing w:val="-11"/>
          <w:sz w:val="20"/>
        </w:rPr>
        <w:t> </w:t>
      </w:r>
      <w:r>
        <w:rPr>
          <w:rFonts w:ascii="Bookman Old Style"/>
          <w:b w:val="0"/>
          <w:i/>
          <w:spacing w:val="-4"/>
          <w:sz w:val="20"/>
        </w:rPr>
        <w:t>Postcolonial</w:t>
      </w:r>
      <w:r>
        <w:rPr>
          <w:rFonts w:ascii="Bookman Old Style"/>
          <w:b w:val="0"/>
          <w:i/>
          <w:spacing w:val="-4"/>
          <w:sz w:val="20"/>
        </w:rPr>
        <w:t> </w:t>
      </w:r>
      <w:r>
        <w:rPr>
          <w:rFonts w:ascii="Bookman Old Style"/>
          <w:b w:val="0"/>
          <w:i/>
          <w:sz w:val="20"/>
        </w:rPr>
        <w:t>World. </w:t>
      </w:r>
      <w:r>
        <w:rPr>
          <w:sz w:val="20"/>
        </w:rPr>
        <w:t>Rowman</w:t>
      </w:r>
      <w:r>
        <w:rPr>
          <w:spacing w:val="40"/>
          <w:sz w:val="20"/>
        </w:rPr>
        <w:t> </w:t>
      </w:r>
      <w:r>
        <w:rPr>
          <w:sz w:val="20"/>
        </w:rPr>
        <w:t>Littlefield Publishers.</w:t>
      </w:r>
    </w:p>
    <w:p>
      <w:pPr>
        <w:pStyle w:val="ListParagraph"/>
        <w:numPr>
          <w:ilvl w:val="0"/>
          <w:numId w:val="2"/>
        </w:numPr>
        <w:tabs>
          <w:tab w:pos="798" w:val="left" w:leader="none"/>
        </w:tabs>
        <w:spacing w:line="240" w:lineRule="auto" w:before="1" w:after="0"/>
        <w:ind w:left="797" w:right="0" w:hanging="362"/>
        <w:jc w:val="left"/>
        <w:rPr>
          <w:sz w:val="20"/>
        </w:rPr>
      </w:pPr>
      <w:r>
        <w:rPr>
          <w:sz w:val="20"/>
        </w:rPr>
        <w:t>Caverley,</w:t>
      </w:r>
      <w:r>
        <w:rPr>
          <w:spacing w:val="10"/>
          <w:sz w:val="20"/>
        </w:rPr>
        <w:t> </w:t>
      </w:r>
      <w:r>
        <w:rPr>
          <w:sz w:val="20"/>
        </w:rPr>
        <w:t>J.D.</w:t>
      </w:r>
      <w:r>
        <w:rPr>
          <w:spacing w:val="10"/>
          <w:sz w:val="20"/>
        </w:rPr>
        <w:t> </w:t>
      </w:r>
      <w:r>
        <w:rPr>
          <w:sz w:val="20"/>
        </w:rPr>
        <w:t>and</w:t>
      </w:r>
      <w:r>
        <w:rPr>
          <w:spacing w:val="10"/>
          <w:sz w:val="20"/>
        </w:rPr>
        <w:t> </w:t>
      </w:r>
      <w:r>
        <w:rPr>
          <w:sz w:val="20"/>
        </w:rPr>
        <w:t>Sechser,</w:t>
      </w:r>
      <w:r>
        <w:rPr>
          <w:spacing w:val="11"/>
          <w:sz w:val="20"/>
        </w:rPr>
        <w:t> </w:t>
      </w:r>
      <w:r>
        <w:rPr>
          <w:sz w:val="20"/>
        </w:rPr>
        <w:t>T.S.,</w:t>
      </w:r>
      <w:r>
        <w:rPr>
          <w:spacing w:val="10"/>
          <w:sz w:val="20"/>
        </w:rPr>
        <w:t> </w:t>
      </w:r>
      <w:r>
        <w:rPr>
          <w:sz w:val="20"/>
        </w:rPr>
        <w:t>2017.</w:t>
      </w:r>
      <w:r>
        <w:rPr>
          <w:spacing w:val="37"/>
          <w:sz w:val="20"/>
        </w:rPr>
        <w:t> </w:t>
      </w:r>
      <w:r>
        <w:rPr>
          <w:sz w:val="20"/>
        </w:rPr>
        <w:t>Military</w:t>
      </w:r>
      <w:r>
        <w:rPr>
          <w:spacing w:val="10"/>
          <w:sz w:val="20"/>
        </w:rPr>
        <w:t> </w:t>
      </w:r>
      <w:r>
        <w:rPr>
          <w:sz w:val="20"/>
        </w:rPr>
        <w:t>technology</w:t>
      </w:r>
      <w:r>
        <w:rPr>
          <w:spacing w:val="10"/>
          <w:sz w:val="20"/>
        </w:rPr>
        <w:t> </w:t>
      </w:r>
      <w:r>
        <w:rPr>
          <w:sz w:val="20"/>
        </w:rPr>
        <w:t>and</w:t>
      </w:r>
      <w:r>
        <w:rPr>
          <w:spacing w:val="10"/>
          <w:sz w:val="20"/>
        </w:rPr>
        <w:t> </w:t>
      </w:r>
      <w:r>
        <w:rPr>
          <w:sz w:val="20"/>
        </w:rPr>
        <w:t>the</w:t>
      </w:r>
      <w:r>
        <w:rPr>
          <w:spacing w:val="10"/>
          <w:sz w:val="20"/>
        </w:rPr>
        <w:t> </w:t>
      </w:r>
      <w:r>
        <w:rPr>
          <w:sz w:val="20"/>
        </w:rPr>
        <w:t>duration</w:t>
      </w:r>
      <w:r>
        <w:rPr>
          <w:spacing w:val="10"/>
          <w:sz w:val="20"/>
        </w:rPr>
        <w:t> </w:t>
      </w:r>
      <w:r>
        <w:rPr>
          <w:sz w:val="20"/>
        </w:rPr>
        <w:t>of</w:t>
      </w:r>
      <w:r>
        <w:rPr>
          <w:spacing w:val="9"/>
          <w:sz w:val="20"/>
        </w:rPr>
        <w:t> </w:t>
      </w:r>
      <w:r>
        <w:rPr>
          <w:sz w:val="20"/>
        </w:rPr>
        <w:t>Civil</w:t>
      </w:r>
      <w:r>
        <w:rPr>
          <w:spacing w:val="10"/>
          <w:sz w:val="20"/>
        </w:rPr>
        <w:t> </w:t>
      </w:r>
      <w:r>
        <w:rPr>
          <w:spacing w:val="-2"/>
          <w:sz w:val="20"/>
        </w:rPr>
        <w:t>Conflict.</w:t>
      </w:r>
    </w:p>
    <w:p>
      <w:pPr>
        <w:spacing w:before="66"/>
        <w:ind w:left="137" w:right="0" w:firstLine="0"/>
        <w:jc w:val="left"/>
        <w:rPr>
          <w:sz w:val="20"/>
        </w:rPr>
      </w:pPr>
      <w:r>
        <w:rPr>
          <w:rFonts w:ascii="Bookman Old Style"/>
          <w:b w:val="0"/>
          <w:i/>
          <w:w w:val="90"/>
          <w:sz w:val="20"/>
        </w:rPr>
        <w:t>International</w:t>
      </w:r>
      <w:r>
        <w:rPr>
          <w:rFonts w:ascii="Bookman Old Style"/>
          <w:b w:val="0"/>
          <w:i/>
          <w:spacing w:val="27"/>
          <w:sz w:val="20"/>
        </w:rPr>
        <w:t> </w:t>
      </w:r>
      <w:r>
        <w:rPr>
          <w:rFonts w:ascii="Bookman Old Style"/>
          <w:b w:val="0"/>
          <w:i/>
          <w:w w:val="90"/>
          <w:sz w:val="20"/>
        </w:rPr>
        <w:t>Studies</w:t>
      </w:r>
      <w:r>
        <w:rPr>
          <w:rFonts w:ascii="Bookman Old Style"/>
          <w:b w:val="0"/>
          <w:i/>
          <w:spacing w:val="27"/>
          <w:sz w:val="20"/>
        </w:rPr>
        <w:t> </w:t>
      </w:r>
      <w:r>
        <w:rPr>
          <w:rFonts w:ascii="Bookman Old Style"/>
          <w:b w:val="0"/>
          <w:i/>
          <w:w w:val="90"/>
          <w:sz w:val="20"/>
        </w:rPr>
        <w:t>Quarterly</w:t>
      </w:r>
      <w:r>
        <w:rPr>
          <w:w w:val="90"/>
          <w:sz w:val="20"/>
        </w:rPr>
        <w:t>,</w:t>
      </w:r>
      <w:r>
        <w:rPr>
          <w:spacing w:val="34"/>
          <w:sz w:val="20"/>
        </w:rPr>
        <w:t> </w:t>
      </w:r>
      <w:r>
        <w:rPr>
          <w:w w:val="90"/>
          <w:sz w:val="20"/>
        </w:rPr>
        <w:t>61(3),</w:t>
      </w:r>
      <w:r>
        <w:rPr>
          <w:spacing w:val="33"/>
          <w:sz w:val="20"/>
        </w:rPr>
        <w:t> </w:t>
      </w:r>
      <w:r>
        <w:rPr>
          <w:w w:val="90"/>
          <w:sz w:val="20"/>
        </w:rPr>
        <w:t>pp.704-</w:t>
      </w:r>
      <w:r>
        <w:rPr>
          <w:spacing w:val="-4"/>
          <w:w w:val="90"/>
          <w:sz w:val="20"/>
        </w:rPr>
        <w:t>720.</w:t>
      </w:r>
    </w:p>
    <w:p>
      <w:pPr>
        <w:pStyle w:val="ListParagraph"/>
        <w:numPr>
          <w:ilvl w:val="0"/>
          <w:numId w:val="2"/>
        </w:numPr>
        <w:tabs>
          <w:tab w:pos="792" w:val="left" w:leader="none"/>
        </w:tabs>
        <w:spacing w:line="309" w:lineRule="auto" w:before="65" w:after="0"/>
        <w:ind w:left="137" w:right="1795" w:firstLine="298"/>
        <w:jc w:val="left"/>
        <w:rPr>
          <w:sz w:val="20"/>
        </w:rPr>
      </w:pPr>
      <w:r>
        <w:rPr>
          <w:spacing w:val="-2"/>
          <w:sz w:val="20"/>
        </w:rPr>
        <w:t>Chun,</w:t>
      </w:r>
      <w:r>
        <w:rPr>
          <w:spacing w:val="-1"/>
          <w:sz w:val="20"/>
        </w:rPr>
        <w:t> </w:t>
      </w:r>
      <w:r>
        <w:rPr>
          <w:spacing w:val="-2"/>
          <w:sz w:val="20"/>
        </w:rPr>
        <w:t>C.K.,</w:t>
      </w:r>
      <w:r>
        <w:rPr>
          <w:spacing w:val="-1"/>
          <w:sz w:val="20"/>
        </w:rPr>
        <w:t> </w:t>
      </w:r>
      <w:r>
        <w:rPr>
          <w:spacing w:val="-2"/>
          <w:sz w:val="20"/>
        </w:rPr>
        <w:t>2010.</w:t>
      </w:r>
      <w:r>
        <w:rPr>
          <w:spacing w:val="19"/>
          <w:sz w:val="20"/>
        </w:rPr>
        <w:t> </w:t>
      </w:r>
      <w:r>
        <w:rPr>
          <w:rFonts w:ascii="Bookman Old Style"/>
          <w:b w:val="0"/>
          <w:i/>
          <w:spacing w:val="-2"/>
          <w:sz w:val="20"/>
        </w:rPr>
        <w:t>Do</w:t>
      </w:r>
      <w:r>
        <w:rPr>
          <w:rFonts w:ascii="Bookman Old Style"/>
          <w:b w:val="0"/>
          <w:i/>
          <w:spacing w:val="-10"/>
          <w:sz w:val="20"/>
        </w:rPr>
        <w:t> </w:t>
      </w:r>
      <w:r>
        <w:rPr>
          <w:rFonts w:ascii="Bookman Old Style"/>
          <w:b w:val="0"/>
          <w:i/>
          <w:spacing w:val="-2"/>
          <w:sz w:val="20"/>
        </w:rPr>
        <w:t>oil</w:t>
      </w:r>
      <w:r>
        <w:rPr>
          <w:rFonts w:ascii="Bookman Old Style"/>
          <w:b w:val="0"/>
          <w:i/>
          <w:spacing w:val="-10"/>
          <w:sz w:val="20"/>
        </w:rPr>
        <w:t> </w:t>
      </w:r>
      <w:r>
        <w:rPr>
          <w:rFonts w:ascii="Bookman Old Style"/>
          <w:b w:val="0"/>
          <w:i/>
          <w:spacing w:val="-2"/>
          <w:sz w:val="20"/>
        </w:rPr>
        <w:t>exports</w:t>
      </w:r>
      <w:r>
        <w:rPr>
          <w:rFonts w:ascii="Bookman Old Style"/>
          <w:b w:val="0"/>
          <w:i/>
          <w:spacing w:val="-10"/>
          <w:sz w:val="20"/>
        </w:rPr>
        <w:t> </w:t>
      </w:r>
      <w:r>
        <w:rPr>
          <w:rFonts w:ascii="Bookman Old Style"/>
          <w:b w:val="0"/>
          <w:i/>
          <w:spacing w:val="-2"/>
          <w:sz w:val="20"/>
        </w:rPr>
        <w:t>fuel</w:t>
      </w:r>
      <w:r>
        <w:rPr>
          <w:rFonts w:ascii="Bookman Old Style"/>
          <w:b w:val="0"/>
          <w:i/>
          <w:spacing w:val="-10"/>
          <w:sz w:val="20"/>
        </w:rPr>
        <w:t> </w:t>
      </w:r>
      <w:r>
        <w:rPr>
          <w:rFonts w:ascii="Bookman Old Style"/>
          <w:b w:val="0"/>
          <w:i/>
          <w:spacing w:val="-2"/>
          <w:sz w:val="20"/>
        </w:rPr>
        <w:t>defense</w:t>
      </w:r>
      <w:r>
        <w:rPr>
          <w:rFonts w:ascii="Bookman Old Style"/>
          <w:b w:val="0"/>
          <w:i/>
          <w:spacing w:val="-10"/>
          <w:sz w:val="20"/>
        </w:rPr>
        <w:t> </w:t>
      </w:r>
      <w:r>
        <w:rPr>
          <w:rFonts w:ascii="Bookman Old Style"/>
          <w:b w:val="0"/>
          <w:i/>
          <w:spacing w:val="-2"/>
          <w:sz w:val="20"/>
        </w:rPr>
        <w:t>spending?</w:t>
      </w:r>
      <w:r>
        <w:rPr>
          <w:spacing w:val="-2"/>
          <w:sz w:val="20"/>
        </w:rPr>
        <w:t>.</w:t>
      </w:r>
      <w:r>
        <w:rPr>
          <w:spacing w:val="18"/>
          <w:sz w:val="20"/>
        </w:rPr>
        <w:t> </w:t>
      </w:r>
      <w:r>
        <w:rPr>
          <w:spacing w:val="-2"/>
          <w:sz w:val="20"/>
        </w:rPr>
        <w:t>Strategic Studies Institute,</w:t>
      </w:r>
      <w:r>
        <w:rPr>
          <w:spacing w:val="-1"/>
          <w:sz w:val="20"/>
        </w:rPr>
        <w:t> </w:t>
      </w:r>
      <w:r>
        <w:rPr>
          <w:spacing w:val="-2"/>
          <w:sz w:val="20"/>
        </w:rPr>
        <w:t>US Army </w:t>
      </w:r>
      <w:r>
        <w:rPr>
          <w:sz w:val="20"/>
        </w:rPr>
        <w:t>War College.</w:t>
      </w:r>
    </w:p>
    <w:p>
      <w:pPr>
        <w:pStyle w:val="ListParagraph"/>
        <w:numPr>
          <w:ilvl w:val="0"/>
          <w:numId w:val="2"/>
        </w:numPr>
        <w:tabs>
          <w:tab w:pos="816" w:val="left" w:leader="none"/>
        </w:tabs>
        <w:spacing w:line="240" w:lineRule="auto" w:before="1" w:after="0"/>
        <w:ind w:left="815" w:right="0" w:hanging="380"/>
        <w:jc w:val="left"/>
        <w:rPr>
          <w:rFonts w:ascii="Bookman Old Style"/>
          <w:b w:val="0"/>
          <w:i/>
          <w:sz w:val="20"/>
        </w:rPr>
      </w:pPr>
      <w:r>
        <w:rPr>
          <w:sz w:val="20"/>
        </w:rPr>
        <w:t>Collier,</w:t>
      </w:r>
      <w:r>
        <w:rPr>
          <w:spacing w:val="5"/>
          <w:sz w:val="20"/>
        </w:rPr>
        <w:t> </w:t>
      </w:r>
      <w:r>
        <w:rPr>
          <w:sz w:val="20"/>
        </w:rPr>
        <w:t>P.</w:t>
      </w:r>
      <w:r>
        <w:rPr>
          <w:spacing w:val="4"/>
          <w:sz w:val="20"/>
        </w:rPr>
        <w:t> </w:t>
      </w:r>
      <w:r>
        <w:rPr>
          <w:sz w:val="20"/>
        </w:rPr>
        <w:t>and</w:t>
      </w:r>
      <w:r>
        <w:rPr>
          <w:spacing w:val="4"/>
          <w:sz w:val="20"/>
        </w:rPr>
        <w:t> </w:t>
      </w:r>
      <w:r>
        <w:rPr>
          <w:sz w:val="20"/>
        </w:rPr>
        <w:t>Hoeffler,</w:t>
      </w:r>
      <w:r>
        <w:rPr>
          <w:spacing w:val="6"/>
          <w:sz w:val="20"/>
        </w:rPr>
        <w:t> </w:t>
      </w:r>
      <w:r>
        <w:rPr>
          <w:sz w:val="20"/>
        </w:rPr>
        <w:t>A.,</w:t>
      </w:r>
      <w:r>
        <w:rPr>
          <w:spacing w:val="6"/>
          <w:sz w:val="20"/>
        </w:rPr>
        <w:t> </w:t>
      </w:r>
      <w:r>
        <w:rPr>
          <w:sz w:val="20"/>
        </w:rPr>
        <w:t>2004.</w:t>
      </w:r>
      <w:r>
        <w:rPr>
          <w:spacing w:val="35"/>
          <w:sz w:val="20"/>
        </w:rPr>
        <w:t> </w:t>
      </w:r>
      <w:r>
        <w:rPr>
          <w:sz w:val="20"/>
        </w:rPr>
        <w:t>Greed</w:t>
      </w:r>
      <w:r>
        <w:rPr>
          <w:spacing w:val="4"/>
          <w:sz w:val="20"/>
        </w:rPr>
        <w:t> </w:t>
      </w:r>
      <w:r>
        <w:rPr>
          <w:sz w:val="20"/>
        </w:rPr>
        <w:t>and</w:t>
      </w:r>
      <w:r>
        <w:rPr>
          <w:spacing w:val="3"/>
          <w:sz w:val="20"/>
        </w:rPr>
        <w:t> </w:t>
      </w:r>
      <w:r>
        <w:rPr>
          <w:sz w:val="20"/>
        </w:rPr>
        <w:t>grievance</w:t>
      </w:r>
      <w:r>
        <w:rPr>
          <w:spacing w:val="4"/>
          <w:sz w:val="20"/>
        </w:rPr>
        <w:t> </w:t>
      </w:r>
      <w:r>
        <w:rPr>
          <w:sz w:val="20"/>
        </w:rPr>
        <w:t>in</w:t>
      </w:r>
      <w:r>
        <w:rPr>
          <w:spacing w:val="4"/>
          <w:sz w:val="20"/>
        </w:rPr>
        <w:t> </w:t>
      </w:r>
      <w:r>
        <w:rPr>
          <w:sz w:val="20"/>
        </w:rPr>
        <w:t>civil</w:t>
      </w:r>
      <w:r>
        <w:rPr>
          <w:spacing w:val="4"/>
          <w:sz w:val="20"/>
        </w:rPr>
        <w:t> </w:t>
      </w:r>
      <w:r>
        <w:rPr>
          <w:sz w:val="20"/>
        </w:rPr>
        <w:t>war.</w:t>
      </w:r>
      <w:r>
        <w:rPr>
          <w:spacing w:val="37"/>
          <w:sz w:val="20"/>
        </w:rPr>
        <w:t> </w:t>
      </w:r>
      <w:r>
        <w:rPr>
          <w:rFonts w:ascii="Bookman Old Style"/>
          <w:b w:val="0"/>
          <w:i/>
          <w:sz w:val="20"/>
        </w:rPr>
        <w:t>Oxford</w:t>
      </w:r>
      <w:r>
        <w:rPr>
          <w:rFonts w:ascii="Bookman Old Style"/>
          <w:b w:val="0"/>
          <w:i/>
          <w:spacing w:val="-6"/>
          <w:sz w:val="20"/>
        </w:rPr>
        <w:t> </w:t>
      </w:r>
      <w:r>
        <w:rPr>
          <w:rFonts w:ascii="Bookman Old Style"/>
          <w:b w:val="0"/>
          <w:i/>
          <w:sz w:val="20"/>
        </w:rPr>
        <w:t>economic</w:t>
      </w:r>
      <w:r>
        <w:rPr>
          <w:rFonts w:ascii="Bookman Old Style"/>
          <w:b w:val="0"/>
          <w:i/>
          <w:spacing w:val="-5"/>
          <w:sz w:val="20"/>
        </w:rPr>
        <w:t> </w:t>
      </w:r>
      <w:r>
        <w:rPr>
          <w:rFonts w:ascii="Bookman Old Style"/>
          <w:b w:val="0"/>
          <w:i/>
          <w:spacing w:val="-2"/>
          <w:sz w:val="20"/>
        </w:rPr>
        <w:t>papers,</w:t>
      </w:r>
    </w:p>
    <w:p>
      <w:pPr>
        <w:pStyle w:val="BodyText"/>
        <w:spacing w:before="69"/>
        <w:ind w:left="137"/>
      </w:pPr>
      <w:r>
        <w:rPr>
          <w:spacing w:val="-6"/>
        </w:rPr>
        <w:t>56(4),</w:t>
      </w:r>
      <w:r>
        <w:rPr>
          <w:spacing w:val="15"/>
        </w:rPr>
        <w:t> </w:t>
      </w:r>
      <w:r>
        <w:rPr>
          <w:spacing w:val="-6"/>
        </w:rPr>
        <w:t>pp.563-595.</w:t>
      </w:r>
    </w:p>
    <w:p>
      <w:pPr>
        <w:spacing w:after="0"/>
        <w:sectPr>
          <w:pgSz w:w="12240" w:h="15840"/>
          <w:pgMar w:header="0" w:footer="1252" w:top="1100" w:bottom="1440" w:left="1280" w:right="40"/>
        </w:sectPr>
      </w:pPr>
    </w:p>
    <w:p>
      <w:pPr>
        <w:pStyle w:val="ListParagraph"/>
        <w:numPr>
          <w:ilvl w:val="0"/>
          <w:numId w:val="2"/>
        </w:numPr>
        <w:tabs>
          <w:tab w:pos="777" w:val="left" w:leader="none"/>
        </w:tabs>
        <w:spacing w:line="309" w:lineRule="auto" w:before="49" w:after="0"/>
        <w:ind w:left="137" w:right="1795" w:firstLine="298"/>
        <w:jc w:val="left"/>
        <w:rPr>
          <w:sz w:val="20"/>
        </w:rPr>
      </w:pPr>
      <w:r>
        <w:rPr>
          <w:sz w:val="20"/>
        </w:rPr>
        <w:t>Cotet, A.M. and Tsui, K.K., 2013.</w:t>
      </w:r>
      <w:r>
        <w:rPr>
          <w:spacing w:val="22"/>
          <w:sz w:val="20"/>
        </w:rPr>
        <w:t> </w:t>
      </w:r>
      <w:r>
        <w:rPr>
          <w:sz w:val="20"/>
        </w:rPr>
        <w:t>Oil and conflict:</w:t>
      </w:r>
      <w:r>
        <w:rPr>
          <w:spacing w:val="21"/>
          <w:sz w:val="20"/>
        </w:rPr>
        <w:t> </w:t>
      </w:r>
      <w:r>
        <w:rPr>
          <w:sz w:val="20"/>
        </w:rPr>
        <w:t>What does the cross country evidence really </w:t>
      </w:r>
      <w:r>
        <w:rPr>
          <w:spacing w:val="-2"/>
          <w:sz w:val="20"/>
        </w:rPr>
        <w:t>show?.</w:t>
      </w:r>
      <w:r>
        <w:rPr>
          <w:spacing w:val="9"/>
          <w:sz w:val="20"/>
        </w:rPr>
        <w:t> </w:t>
      </w:r>
      <w:r>
        <w:rPr>
          <w:rFonts w:ascii="Bookman Old Style"/>
          <w:b w:val="0"/>
          <w:i/>
          <w:spacing w:val="-2"/>
          <w:sz w:val="20"/>
        </w:rPr>
        <w:t>American</w:t>
      </w:r>
      <w:r>
        <w:rPr>
          <w:rFonts w:ascii="Bookman Old Style"/>
          <w:b w:val="0"/>
          <w:i/>
          <w:spacing w:val="-13"/>
          <w:sz w:val="20"/>
        </w:rPr>
        <w:t> </w:t>
      </w:r>
      <w:r>
        <w:rPr>
          <w:rFonts w:ascii="Bookman Old Style"/>
          <w:b w:val="0"/>
          <w:i/>
          <w:spacing w:val="-2"/>
          <w:sz w:val="20"/>
        </w:rPr>
        <w:t>economic</w:t>
      </w:r>
      <w:r>
        <w:rPr>
          <w:rFonts w:ascii="Bookman Old Style"/>
          <w:b w:val="0"/>
          <w:i/>
          <w:spacing w:val="-13"/>
          <w:sz w:val="20"/>
        </w:rPr>
        <w:t> </w:t>
      </w:r>
      <w:r>
        <w:rPr>
          <w:rFonts w:ascii="Bookman Old Style"/>
          <w:b w:val="0"/>
          <w:i/>
          <w:spacing w:val="-2"/>
          <w:sz w:val="20"/>
        </w:rPr>
        <w:t>journal:</w:t>
      </w:r>
      <w:r>
        <w:rPr>
          <w:rFonts w:ascii="Bookman Old Style"/>
          <w:b w:val="0"/>
          <w:i/>
          <w:spacing w:val="-2"/>
          <w:sz w:val="20"/>
        </w:rPr>
        <w:t> Macroeconomics,</w:t>
      </w:r>
      <w:r>
        <w:rPr>
          <w:rFonts w:ascii="Bookman Old Style"/>
          <w:b w:val="0"/>
          <w:i/>
          <w:spacing w:val="-13"/>
          <w:sz w:val="20"/>
        </w:rPr>
        <w:t> </w:t>
      </w:r>
      <w:r>
        <w:rPr>
          <w:spacing w:val="-2"/>
          <w:sz w:val="20"/>
        </w:rPr>
        <w:t>5(1),</w:t>
      </w:r>
      <w:r>
        <w:rPr>
          <w:spacing w:val="-5"/>
          <w:sz w:val="20"/>
        </w:rPr>
        <w:t> </w:t>
      </w:r>
      <w:r>
        <w:rPr>
          <w:spacing w:val="-2"/>
          <w:sz w:val="20"/>
        </w:rPr>
        <w:t>pp.49-80.</w:t>
      </w:r>
    </w:p>
    <w:p>
      <w:pPr>
        <w:pStyle w:val="ListParagraph"/>
        <w:numPr>
          <w:ilvl w:val="0"/>
          <w:numId w:val="2"/>
        </w:numPr>
        <w:tabs>
          <w:tab w:pos="822" w:val="left" w:leader="none"/>
        </w:tabs>
        <w:spacing w:line="316" w:lineRule="auto" w:before="2" w:after="0"/>
        <w:ind w:left="137" w:right="1794" w:firstLine="298"/>
        <w:jc w:val="left"/>
        <w:rPr>
          <w:sz w:val="20"/>
        </w:rPr>
      </w:pPr>
      <w:r>
        <w:rPr>
          <w:sz w:val="20"/>
        </w:rPr>
        <w:t>Crepon,</w:t>
      </w:r>
      <w:r>
        <w:rPr>
          <w:spacing w:val="21"/>
          <w:sz w:val="20"/>
        </w:rPr>
        <w:t> </w:t>
      </w:r>
      <w:r>
        <w:rPr>
          <w:sz w:val="20"/>
        </w:rPr>
        <w:t>C.,</w:t>
      </w:r>
      <w:r>
        <w:rPr>
          <w:spacing w:val="21"/>
          <w:sz w:val="20"/>
        </w:rPr>
        <w:t> </w:t>
      </w:r>
      <w:r>
        <w:rPr>
          <w:sz w:val="20"/>
        </w:rPr>
        <w:t>Hunziker,</w:t>
      </w:r>
      <w:r>
        <w:rPr>
          <w:spacing w:val="21"/>
          <w:sz w:val="20"/>
        </w:rPr>
        <w:t> </w:t>
      </w:r>
      <w:r>
        <w:rPr>
          <w:sz w:val="20"/>
        </w:rPr>
        <w:t>P.,</w:t>
      </w:r>
      <w:r>
        <w:rPr>
          <w:spacing w:val="80"/>
          <w:sz w:val="20"/>
        </w:rPr>
        <w:t> </w:t>
      </w:r>
      <w:r>
        <w:rPr>
          <w:sz w:val="20"/>
        </w:rPr>
        <w:t>Cederman,</w:t>
      </w:r>
      <w:r>
        <w:rPr>
          <w:spacing w:val="21"/>
          <w:sz w:val="20"/>
        </w:rPr>
        <w:t> </w:t>
      </w:r>
      <w:r>
        <w:rPr>
          <w:sz w:val="20"/>
        </w:rPr>
        <w:t>L.</w:t>
      </w:r>
      <w:r>
        <w:rPr>
          <w:spacing w:val="18"/>
          <w:sz w:val="20"/>
        </w:rPr>
        <w:t> </w:t>
      </w:r>
      <w:r>
        <w:rPr>
          <w:sz w:val="20"/>
        </w:rPr>
        <w:t>E.</w:t>
      </w:r>
      <w:r>
        <w:rPr>
          <w:spacing w:val="18"/>
          <w:sz w:val="20"/>
        </w:rPr>
        <w:t> </w:t>
      </w:r>
      <w:r>
        <w:rPr>
          <w:sz w:val="20"/>
        </w:rPr>
        <w:t>(2021).</w:t>
      </w:r>
      <w:r>
        <w:rPr>
          <w:spacing w:val="40"/>
          <w:sz w:val="20"/>
        </w:rPr>
        <w:t> </w:t>
      </w:r>
      <w:r>
        <w:rPr>
          <w:sz w:val="20"/>
        </w:rPr>
        <w:t>Roads</w:t>
      </w:r>
      <w:r>
        <w:rPr>
          <w:spacing w:val="18"/>
          <w:sz w:val="20"/>
        </w:rPr>
        <w:t> </w:t>
      </w:r>
      <w:r>
        <w:rPr>
          <w:sz w:val="20"/>
        </w:rPr>
        <w:t>to</w:t>
      </w:r>
      <w:r>
        <w:rPr>
          <w:spacing w:val="18"/>
          <w:sz w:val="20"/>
        </w:rPr>
        <w:t> </w:t>
      </w:r>
      <w:r>
        <w:rPr>
          <w:sz w:val="20"/>
        </w:rPr>
        <w:t>rule,</w:t>
      </w:r>
      <w:r>
        <w:rPr>
          <w:spacing w:val="21"/>
          <w:sz w:val="20"/>
        </w:rPr>
        <w:t> </w:t>
      </w:r>
      <w:r>
        <w:rPr>
          <w:sz w:val="20"/>
        </w:rPr>
        <w:t>roads</w:t>
      </w:r>
      <w:r>
        <w:rPr>
          <w:spacing w:val="18"/>
          <w:sz w:val="20"/>
        </w:rPr>
        <w:t> </w:t>
      </w:r>
      <w:r>
        <w:rPr>
          <w:sz w:val="20"/>
        </w:rPr>
        <w:t>to</w:t>
      </w:r>
      <w:r>
        <w:rPr>
          <w:spacing w:val="18"/>
          <w:sz w:val="20"/>
        </w:rPr>
        <w:t> </w:t>
      </w:r>
      <w:r>
        <w:rPr>
          <w:sz w:val="20"/>
        </w:rPr>
        <w:t>rebel:</w:t>
      </w:r>
      <w:r>
        <w:rPr>
          <w:spacing w:val="40"/>
          <w:sz w:val="20"/>
        </w:rPr>
        <w:t> </w:t>
      </w:r>
      <w:r>
        <w:rPr>
          <w:sz w:val="20"/>
        </w:rPr>
        <w:t>relational state capacity and conflict in Africa.</w:t>
      </w:r>
      <w:r>
        <w:rPr>
          <w:spacing w:val="26"/>
          <w:sz w:val="20"/>
        </w:rPr>
        <w:t> </w:t>
      </w:r>
      <w:r>
        <w:rPr>
          <w:sz w:val="20"/>
        </w:rPr>
        <w:t>Journal of Conflict Resolution, 65(2-3), 563-590.</w:t>
      </w:r>
    </w:p>
    <w:p>
      <w:pPr>
        <w:pStyle w:val="ListParagraph"/>
        <w:numPr>
          <w:ilvl w:val="0"/>
          <w:numId w:val="2"/>
        </w:numPr>
        <w:tabs>
          <w:tab w:pos="807" w:val="left" w:leader="none"/>
        </w:tabs>
        <w:spacing w:line="316" w:lineRule="auto" w:before="0" w:after="0"/>
        <w:ind w:left="137" w:right="1792" w:firstLine="298"/>
        <w:jc w:val="left"/>
        <w:rPr>
          <w:sz w:val="20"/>
        </w:rPr>
      </w:pPr>
      <w:r>
        <w:rPr>
          <w:sz w:val="20"/>
        </w:rPr>
        <w:t>D’agostino,</w:t>
      </w:r>
      <w:r>
        <w:rPr>
          <w:spacing w:val="13"/>
          <w:sz w:val="20"/>
        </w:rPr>
        <w:t> </w:t>
      </w:r>
      <w:r>
        <w:rPr>
          <w:sz w:val="20"/>
        </w:rPr>
        <w:t>M.,</w:t>
      </w:r>
      <w:r>
        <w:rPr>
          <w:spacing w:val="13"/>
          <w:sz w:val="20"/>
        </w:rPr>
        <w:t> </w:t>
      </w:r>
      <w:r>
        <w:rPr>
          <w:sz w:val="20"/>
        </w:rPr>
        <w:t>Tesse,</w:t>
      </w:r>
      <w:r>
        <w:rPr>
          <w:spacing w:val="13"/>
          <w:sz w:val="20"/>
        </w:rPr>
        <w:t> </w:t>
      </w:r>
      <w:r>
        <w:rPr>
          <w:sz w:val="20"/>
        </w:rPr>
        <w:t>N.,</w:t>
      </w:r>
      <w:r>
        <w:rPr>
          <w:spacing w:val="13"/>
          <w:sz w:val="20"/>
        </w:rPr>
        <w:t> </w:t>
      </w:r>
      <w:r>
        <w:rPr>
          <w:sz w:val="20"/>
        </w:rPr>
        <w:t>Frippiat,</w:t>
      </w:r>
      <w:r>
        <w:rPr>
          <w:spacing w:val="13"/>
          <w:sz w:val="20"/>
        </w:rPr>
        <w:t> </w:t>
      </w:r>
      <w:r>
        <w:rPr>
          <w:sz w:val="20"/>
        </w:rPr>
        <w:t>J.</w:t>
      </w:r>
      <w:r>
        <w:rPr>
          <w:spacing w:val="12"/>
          <w:sz w:val="20"/>
        </w:rPr>
        <w:t> </w:t>
      </w:r>
      <w:r>
        <w:rPr>
          <w:sz w:val="20"/>
        </w:rPr>
        <w:t>P.,</w:t>
      </w:r>
      <w:r>
        <w:rPr>
          <w:spacing w:val="13"/>
          <w:sz w:val="20"/>
        </w:rPr>
        <w:t> </w:t>
      </w:r>
      <w:r>
        <w:rPr>
          <w:sz w:val="20"/>
        </w:rPr>
        <w:t>Machouart,</w:t>
      </w:r>
      <w:r>
        <w:rPr>
          <w:spacing w:val="13"/>
          <w:sz w:val="20"/>
        </w:rPr>
        <w:t> </w:t>
      </w:r>
      <w:r>
        <w:rPr>
          <w:sz w:val="20"/>
        </w:rPr>
        <w:t>M.,</w:t>
      </w:r>
      <w:r>
        <w:rPr>
          <w:spacing w:val="76"/>
          <w:sz w:val="20"/>
        </w:rPr>
        <w:t> </w:t>
      </w:r>
      <w:r>
        <w:rPr>
          <w:sz w:val="20"/>
        </w:rPr>
        <w:t>Debourgogne,</w:t>
      </w:r>
      <w:r>
        <w:rPr>
          <w:spacing w:val="13"/>
          <w:sz w:val="20"/>
        </w:rPr>
        <w:t> </w:t>
      </w:r>
      <w:r>
        <w:rPr>
          <w:sz w:val="20"/>
        </w:rPr>
        <w:t>A.</w:t>
      </w:r>
      <w:r>
        <w:rPr>
          <w:spacing w:val="12"/>
          <w:sz w:val="20"/>
        </w:rPr>
        <w:t> </w:t>
      </w:r>
      <w:r>
        <w:rPr>
          <w:sz w:val="20"/>
        </w:rPr>
        <w:t>(2019).</w:t>
      </w:r>
      <w:r>
        <w:rPr>
          <w:spacing w:val="40"/>
          <w:sz w:val="20"/>
        </w:rPr>
        <w:t> </w:t>
      </w:r>
      <w:r>
        <w:rPr>
          <w:sz w:val="20"/>
        </w:rPr>
        <w:t>Essential oils and their natural active compounds presenting antifungal properties.</w:t>
      </w:r>
      <w:r>
        <w:rPr>
          <w:spacing w:val="18"/>
          <w:sz w:val="20"/>
        </w:rPr>
        <w:t> </w:t>
      </w:r>
      <w:r>
        <w:rPr>
          <w:sz w:val="20"/>
        </w:rPr>
        <w:t>Molecules, 24(20), 3713.</w:t>
      </w:r>
    </w:p>
    <w:p>
      <w:pPr>
        <w:pStyle w:val="ListParagraph"/>
        <w:numPr>
          <w:ilvl w:val="0"/>
          <w:numId w:val="2"/>
        </w:numPr>
        <w:tabs>
          <w:tab w:pos="782" w:val="left" w:leader="none"/>
        </w:tabs>
        <w:spacing w:line="225" w:lineRule="exact" w:before="0" w:after="0"/>
        <w:ind w:left="781" w:right="0" w:hanging="346"/>
        <w:jc w:val="left"/>
        <w:rPr>
          <w:sz w:val="20"/>
        </w:rPr>
      </w:pPr>
      <w:r>
        <w:rPr>
          <w:w w:val="95"/>
          <w:sz w:val="20"/>
        </w:rPr>
        <w:t>Davies,</w:t>
      </w:r>
      <w:r>
        <w:rPr>
          <w:spacing w:val="21"/>
          <w:sz w:val="20"/>
        </w:rPr>
        <w:t> </w:t>
      </w:r>
      <w:r>
        <w:rPr>
          <w:w w:val="95"/>
          <w:sz w:val="20"/>
        </w:rPr>
        <w:t>Shawn,</w:t>
      </w:r>
      <w:r>
        <w:rPr>
          <w:spacing w:val="22"/>
          <w:sz w:val="20"/>
        </w:rPr>
        <w:t> </w:t>
      </w:r>
      <w:r>
        <w:rPr>
          <w:w w:val="95"/>
          <w:sz w:val="20"/>
        </w:rPr>
        <w:t>Therese</w:t>
      </w:r>
      <w:r>
        <w:rPr>
          <w:spacing w:val="21"/>
          <w:sz w:val="20"/>
        </w:rPr>
        <w:t> </w:t>
      </w:r>
      <w:r>
        <w:rPr>
          <w:w w:val="95"/>
          <w:sz w:val="20"/>
        </w:rPr>
        <w:t>Pettersson</w:t>
      </w:r>
      <w:r>
        <w:rPr>
          <w:spacing w:val="21"/>
          <w:sz w:val="20"/>
        </w:rPr>
        <w:t> </w:t>
      </w:r>
      <w:r>
        <w:rPr>
          <w:w w:val="95"/>
          <w:sz w:val="20"/>
        </w:rPr>
        <w:t>&amp;</w:t>
      </w:r>
      <w:r>
        <w:rPr>
          <w:spacing w:val="22"/>
          <w:sz w:val="20"/>
        </w:rPr>
        <w:t> </w:t>
      </w:r>
      <w:r>
        <w:rPr>
          <w:w w:val="95"/>
          <w:sz w:val="20"/>
        </w:rPr>
        <w:t>Magnus</w:t>
      </w:r>
      <w:r>
        <w:rPr>
          <w:spacing w:val="21"/>
          <w:sz w:val="20"/>
        </w:rPr>
        <w:t> </w:t>
      </w:r>
      <w:r>
        <w:rPr>
          <w:spacing w:val="-128"/>
          <w:w w:val="97"/>
          <w:sz w:val="20"/>
        </w:rPr>
        <w:t>O</w:t>
      </w:r>
      <w:r>
        <w:rPr>
          <w:w w:val="92"/>
          <w:position w:val="5"/>
          <w:sz w:val="20"/>
        </w:rPr>
        <w:t>¨</w:t>
      </w:r>
      <w:r>
        <w:rPr>
          <w:spacing w:val="-17"/>
          <w:w w:val="94"/>
          <w:position w:val="5"/>
          <w:sz w:val="20"/>
        </w:rPr>
        <w:t> </w:t>
      </w:r>
      <w:r>
        <w:rPr>
          <w:w w:val="95"/>
          <w:sz w:val="20"/>
        </w:rPr>
        <w:t>berg</w:t>
      </w:r>
      <w:r>
        <w:rPr>
          <w:spacing w:val="21"/>
          <w:sz w:val="20"/>
        </w:rPr>
        <w:t> </w:t>
      </w:r>
      <w:r>
        <w:rPr>
          <w:w w:val="95"/>
          <w:sz w:val="20"/>
        </w:rPr>
        <w:t>(2022).</w:t>
      </w:r>
      <w:r>
        <w:rPr>
          <w:spacing w:val="45"/>
          <w:sz w:val="20"/>
        </w:rPr>
        <w:t> </w:t>
      </w:r>
      <w:r>
        <w:rPr>
          <w:w w:val="95"/>
          <w:sz w:val="20"/>
        </w:rPr>
        <w:t>Organized</w:t>
      </w:r>
      <w:r>
        <w:rPr>
          <w:spacing w:val="22"/>
          <w:sz w:val="20"/>
        </w:rPr>
        <w:t> </w:t>
      </w:r>
      <w:r>
        <w:rPr>
          <w:w w:val="95"/>
          <w:sz w:val="20"/>
        </w:rPr>
        <w:t>violence</w:t>
      </w:r>
      <w:r>
        <w:rPr>
          <w:spacing w:val="21"/>
          <w:sz w:val="20"/>
        </w:rPr>
        <w:t> </w:t>
      </w:r>
      <w:r>
        <w:rPr>
          <w:w w:val="95"/>
          <w:sz w:val="20"/>
        </w:rPr>
        <w:t>1989-2021</w:t>
      </w:r>
      <w:r>
        <w:rPr>
          <w:spacing w:val="21"/>
          <w:sz w:val="20"/>
        </w:rPr>
        <w:t> </w:t>
      </w:r>
      <w:r>
        <w:rPr>
          <w:spacing w:val="-5"/>
          <w:w w:val="95"/>
          <w:sz w:val="20"/>
        </w:rPr>
        <w:t>and</w:t>
      </w:r>
    </w:p>
    <w:p>
      <w:pPr>
        <w:spacing w:before="65"/>
        <w:ind w:left="137" w:right="0" w:firstLine="0"/>
        <w:jc w:val="left"/>
        <w:rPr>
          <w:sz w:val="20"/>
        </w:rPr>
      </w:pPr>
      <w:r>
        <w:rPr>
          <w:spacing w:val="-8"/>
          <w:sz w:val="20"/>
        </w:rPr>
        <w:t>drone</w:t>
      </w:r>
      <w:r>
        <w:rPr>
          <w:spacing w:val="5"/>
          <w:sz w:val="20"/>
        </w:rPr>
        <w:t> </w:t>
      </w:r>
      <w:r>
        <w:rPr>
          <w:spacing w:val="-8"/>
          <w:sz w:val="20"/>
        </w:rPr>
        <w:t>warfare.</w:t>
      </w:r>
      <w:r>
        <w:rPr>
          <w:spacing w:val="22"/>
          <w:sz w:val="20"/>
        </w:rPr>
        <w:t> </w:t>
      </w:r>
      <w:r>
        <w:rPr>
          <w:rFonts w:ascii="Bookman Old Style"/>
          <w:b w:val="0"/>
          <w:i/>
          <w:spacing w:val="-8"/>
          <w:sz w:val="20"/>
        </w:rPr>
        <w:t>Journal</w:t>
      </w:r>
      <w:r>
        <w:rPr>
          <w:rFonts w:ascii="Bookman Old Style"/>
          <w:b w:val="0"/>
          <w:i/>
          <w:spacing w:val="-3"/>
          <w:sz w:val="20"/>
        </w:rPr>
        <w:t> </w:t>
      </w:r>
      <w:r>
        <w:rPr>
          <w:rFonts w:ascii="Bookman Old Style"/>
          <w:b w:val="0"/>
          <w:i/>
          <w:spacing w:val="-8"/>
          <w:sz w:val="20"/>
        </w:rPr>
        <w:t>of</w:t>
      </w:r>
      <w:r>
        <w:rPr>
          <w:rFonts w:ascii="Bookman Old Style"/>
          <w:b w:val="0"/>
          <w:i/>
          <w:spacing w:val="-3"/>
          <w:sz w:val="20"/>
        </w:rPr>
        <w:t> </w:t>
      </w:r>
      <w:r>
        <w:rPr>
          <w:rFonts w:ascii="Bookman Old Style"/>
          <w:b w:val="0"/>
          <w:i/>
          <w:spacing w:val="-8"/>
          <w:sz w:val="20"/>
        </w:rPr>
        <w:t>Peace</w:t>
      </w:r>
      <w:r>
        <w:rPr>
          <w:rFonts w:ascii="Bookman Old Style"/>
          <w:b w:val="0"/>
          <w:i/>
          <w:spacing w:val="-3"/>
          <w:sz w:val="20"/>
        </w:rPr>
        <w:t> </w:t>
      </w:r>
      <w:r>
        <w:rPr>
          <w:rFonts w:ascii="Bookman Old Style"/>
          <w:b w:val="0"/>
          <w:i/>
          <w:spacing w:val="-8"/>
          <w:sz w:val="20"/>
        </w:rPr>
        <w:t>Research</w:t>
      </w:r>
      <w:r>
        <w:rPr>
          <w:rFonts w:ascii="Bookman Old Style"/>
          <w:b w:val="0"/>
          <w:i/>
          <w:spacing w:val="6"/>
          <w:sz w:val="20"/>
        </w:rPr>
        <w:t> </w:t>
      </w:r>
      <w:r>
        <w:rPr>
          <w:spacing w:val="-8"/>
          <w:sz w:val="20"/>
        </w:rPr>
        <w:t>59(4).</w:t>
      </w:r>
    </w:p>
    <w:p>
      <w:pPr>
        <w:pStyle w:val="ListParagraph"/>
        <w:numPr>
          <w:ilvl w:val="0"/>
          <w:numId w:val="2"/>
        </w:numPr>
        <w:tabs>
          <w:tab w:pos="804" w:val="left" w:leader="none"/>
        </w:tabs>
        <w:spacing w:line="304" w:lineRule="auto" w:before="64" w:after="0"/>
        <w:ind w:left="137" w:right="1795" w:firstLine="298"/>
        <w:jc w:val="left"/>
        <w:rPr>
          <w:sz w:val="20"/>
        </w:rPr>
      </w:pPr>
      <w:r>
        <w:rPr>
          <w:spacing w:val="-4"/>
          <w:sz w:val="20"/>
        </w:rPr>
        <w:t>Demuynck,</w:t>
      </w:r>
      <w:r>
        <w:rPr>
          <w:sz w:val="20"/>
        </w:rPr>
        <w:t> </w:t>
      </w:r>
      <w:r>
        <w:rPr>
          <w:spacing w:val="-4"/>
          <w:sz w:val="20"/>
        </w:rPr>
        <w:t>T.</w:t>
      </w:r>
      <w:r>
        <w:rPr>
          <w:sz w:val="20"/>
        </w:rPr>
        <w:t> </w:t>
      </w:r>
      <w:r>
        <w:rPr>
          <w:spacing w:val="-4"/>
          <w:sz w:val="20"/>
        </w:rPr>
        <w:t>and</w:t>
      </w:r>
      <w:r>
        <w:rPr>
          <w:spacing w:val="-1"/>
          <w:sz w:val="20"/>
        </w:rPr>
        <w:t> </w:t>
      </w:r>
      <w:r>
        <w:rPr>
          <w:spacing w:val="-4"/>
          <w:sz w:val="20"/>
        </w:rPr>
        <w:t>Schollaert,</w:t>
      </w:r>
      <w:r>
        <w:rPr>
          <w:spacing w:val="1"/>
          <w:sz w:val="20"/>
        </w:rPr>
        <w:t> </w:t>
      </w:r>
      <w:r>
        <w:rPr>
          <w:spacing w:val="-4"/>
          <w:sz w:val="20"/>
        </w:rPr>
        <w:t>A.,</w:t>
      </w:r>
      <w:r>
        <w:rPr>
          <w:spacing w:val="1"/>
          <w:sz w:val="20"/>
        </w:rPr>
        <w:t> </w:t>
      </w:r>
      <w:r>
        <w:rPr>
          <w:spacing w:val="-4"/>
          <w:sz w:val="20"/>
        </w:rPr>
        <w:t>2008.</w:t>
      </w:r>
      <w:r>
        <w:rPr>
          <w:spacing w:val="25"/>
          <w:sz w:val="20"/>
        </w:rPr>
        <w:t> </w:t>
      </w:r>
      <w:r>
        <w:rPr>
          <w:rFonts w:ascii="Bookman Old Style"/>
          <w:b w:val="0"/>
          <w:i/>
          <w:spacing w:val="-4"/>
          <w:sz w:val="20"/>
        </w:rPr>
        <w:t>International</w:t>
      </w:r>
      <w:r>
        <w:rPr>
          <w:rFonts w:ascii="Bookman Old Style"/>
          <w:b w:val="0"/>
          <w:i/>
          <w:spacing w:val="-10"/>
          <w:sz w:val="20"/>
        </w:rPr>
        <w:t> </w:t>
      </w:r>
      <w:r>
        <w:rPr>
          <w:rFonts w:ascii="Bookman Old Style"/>
          <w:b w:val="0"/>
          <w:i/>
          <w:spacing w:val="-4"/>
          <w:sz w:val="20"/>
        </w:rPr>
        <w:t>commodity</w:t>
      </w:r>
      <w:r>
        <w:rPr>
          <w:rFonts w:ascii="Bookman Old Style"/>
          <w:b w:val="0"/>
          <w:i/>
          <w:spacing w:val="-9"/>
          <w:sz w:val="20"/>
        </w:rPr>
        <w:t> </w:t>
      </w:r>
      <w:r>
        <w:rPr>
          <w:rFonts w:ascii="Bookman Old Style"/>
          <w:b w:val="0"/>
          <w:i/>
          <w:spacing w:val="-4"/>
          <w:sz w:val="20"/>
        </w:rPr>
        <w:t>prices</w:t>
      </w:r>
      <w:r>
        <w:rPr>
          <w:rFonts w:ascii="Bookman Old Style"/>
          <w:b w:val="0"/>
          <w:i/>
          <w:spacing w:val="-9"/>
          <w:sz w:val="20"/>
        </w:rPr>
        <w:t> </w:t>
      </w:r>
      <w:r>
        <w:rPr>
          <w:rFonts w:ascii="Bookman Old Style"/>
          <w:b w:val="0"/>
          <w:i/>
          <w:spacing w:val="-4"/>
          <w:sz w:val="20"/>
        </w:rPr>
        <w:t>and</w:t>
      </w:r>
      <w:r>
        <w:rPr>
          <w:rFonts w:ascii="Bookman Old Style"/>
          <w:b w:val="0"/>
          <w:i/>
          <w:spacing w:val="-10"/>
          <w:sz w:val="20"/>
        </w:rPr>
        <w:t> </w:t>
      </w:r>
      <w:r>
        <w:rPr>
          <w:rFonts w:ascii="Bookman Old Style"/>
          <w:b w:val="0"/>
          <w:i/>
          <w:spacing w:val="-4"/>
          <w:sz w:val="20"/>
        </w:rPr>
        <w:t>the</w:t>
      </w:r>
      <w:r>
        <w:rPr>
          <w:rFonts w:ascii="Bookman Old Style"/>
          <w:b w:val="0"/>
          <w:i/>
          <w:spacing w:val="-9"/>
          <w:sz w:val="20"/>
        </w:rPr>
        <w:t> </w:t>
      </w:r>
      <w:r>
        <w:rPr>
          <w:rFonts w:ascii="Bookman Old Style"/>
          <w:b w:val="0"/>
          <w:i/>
          <w:spacing w:val="-4"/>
          <w:sz w:val="20"/>
        </w:rPr>
        <w:t>persistence</w:t>
      </w:r>
      <w:r>
        <w:rPr>
          <w:rFonts w:ascii="Bookman Old Style"/>
          <w:b w:val="0"/>
          <w:i/>
          <w:spacing w:val="-9"/>
          <w:sz w:val="20"/>
        </w:rPr>
        <w:t> </w:t>
      </w:r>
      <w:r>
        <w:rPr>
          <w:rFonts w:ascii="Bookman Old Style"/>
          <w:b w:val="0"/>
          <w:i/>
          <w:spacing w:val="-4"/>
          <w:sz w:val="20"/>
        </w:rPr>
        <w:t>of</w:t>
      </w:r>
      <w:r>
        <w:rPr>
          <w:rFonts w:ascii="Bookman Old Style"/>
          <w:b w:val="0"/>
          <w:i/>
          <w:spacing w:val="-4"/>
          <w:sz w:val="20"/>
        </w:rPr>
        <w:t> </w:t>
      </w:r>
      <w:r>
        <w:rPr>
          <w:rFonts w:ascii="Bookman Old Style"/>
          <w:b w:val="0"/>
          <w:i/>
          <w:sz w:val="20"/>
        </w:rPr>
        <w:t>civil</w:t>
      </w:r>
      <w:r>
        <w:rPr>
          <w:rFonts w:ascii="Bookman Old Style"/>
          <w:b w:val="0"/>
          <w:i/>
          <w:spacing w:val="-1"/>
          <w:sz w:val="20"/>
        </w:rPr>
        <w:t> </w:t>
      </w:r>
      <w:r>
        <w:rPr>
          <w:rFonts w:ascii="Bookman Old Style"/>
          <w:b w:val="0"/>
          <w:i/>
          <w:sz w:val="20"/>
        </w:rPr>
        <w:t>conflict</w:t>
      </w:r>
      <w:r>
        <w:rPr>
          <w:rFonts w:ascii="Bookman Old Style"/>
          <w:b w:val="0"/>
          <w:i/>
          <w:spacing w:val="70"/>
          <w:sz w:val="20"/>
        </w:rPr>
        <w:t> </w:t>
      </w:r>
      <w:r>
        <w:rPr>
          <w:sz w:val="20"/>
        </w:rPr>
        <w:t>(No.</w:t>
      </w:r>
      <w:r>
        <w:rPr>
          <w:spacing w:val="25"/>
          <w:sz w:val="20"/>
        </w:rPr>
        <w:t> </w:t>
      </w:r>
      <w:r>
        <w:rPr>
          <w:sz w:val="20"/>
        </w:rPr>
        <w:t>08/518).</w:t>
      </w:r>
      <w:r>
        <w:rPr>
          <w:spacing w:val="25"/>
          <w:sz w:val="20"/>
        </w:rPr>
        <w:t> </w:t>
      </w:r>
      <w:r>
        <w:rPr>
          <w:sz w:val="20"/>
        </w:rPr>
        <w:t>Ghent University, Faculty of Economics and Business Administration..</w:t>
      </w:r>
    </w:p>
    <w:p>
      <w:pPr>
        <w:pStyle w:val="ListParagraph"/>
        <w:numPr>
          <w:ilvl w:val="0"/>
          <w:numId w:val="2"/>
        </w:numPr>
        <w:tabs>
          <w:tab w:pos="841" w:val="left" w:leader="none"/>
        </w:tabs>
        <w:spacing w:line="240" w:lineRule="auto" w:before="6" w:after="0"/>
        <w:ind w:left="840" w:right="0" w:hanging="405"/>
        <w:jc w:val="left"/>
        <w:rPr>
          <w:sz w:val="20"/>
        </w:rPr>
      </w:pPr>
      <w:r>
        <w:rPr>
          <w:sz w:val="20"/>
        </w:rPr>
        <w:t>De</w:t>
      </w:r>
      <w:r>
        <w:rPr>
          <w:spacing w:val="23"/>
          <w:sz w:val="20"/>
        </w:rPr>
        <w:t> </w:t>
      </w:r>
      <w:r>
        <w:rPr>
          <w:sz w:val="20"/>
        </w:rPr>
        <w:t>Rouen</w:t>
      </w:r>
      <w:r>
        <w:rPr>
          <w:spacing w:val="24"/>
          <w:sz w:val="20"/>
        </w:rPr>
        <w:t> </w:t>
      </w:r>
      <w:r>
        <w:rPr>
          <w:sz w:val="20"/>
        </w:rPr>
        <w:t>Jr,</w:t>
      </w:r>
      <w:r>
        <w:rPr>
          <w:spacing w:val="28"/>
          <w:sz w:val="20"/>
        </w:rPr>
        <w:t> </w:t>
      </w:r>
      <w:r>
        <w:rPr>
          <w:sz w:val="20"/>
        </w:rPr>
        <w:t>K.R.</w:t>
      </w:r>
      <w:r>
        <w:rPr>
          <w:spacing w:val="24"/>
          <w:sz w:val="20"/>
        </w:rPr>
        <w:t> </w:t>
      </w:r>
      <w:r>
        <w:rPr>
          <w:sz w:val="20"/>
        </w:rPr>
        <w:t>and</w:t>
      </w:r>
      <w:r>
        <w:rPr>
          <w:spacing w:val="24"/>
          <w:sz w:val="20"/>
        </w:rPr>
        <w:t> </w:t>
      </w:r>
      <w:r>
        <w:rPr>
          <w:sz w:val="20"/>
        </w:rPr>
        <w:t>Sobek,</w:t>
      </w:r>
      <w:r>
        <w:rPr>
          <w:spacing w:val="28"/>
          <w:sz w:val="20"/>
        </w:rPr>
        <w:t> </w:t>
      </w:r>
      <w:r>
        <w:rPr>
          <w:sz w:val="20"/>
        </w:rPr>
        <w:t>D.,</w:t>
      </w:r>
      <w:r>
        <w:rPr>
          <w:spacing w:val="27"/>
          <w:sz w:val="20"/>
        </w:rPr>
        <w:t> </w:t>
      </w:r>
      <w:r>
        <w:rPr>
          <w:sz w:val="20"/>
        </w:rPr>
        <w:t>2004.</w:t>
      </w:r>
      <w:r>
        <w:rPr>
          <w:spacing w:val="77"/>
          <w:sz w:val="20"/>
        </w:rPr>
        <w:t> </w:t>
      </w:r>
      <w:r>
        <w:rPr>
          <w:sz w:val="20"/>
        </w:rPr>
        <w:t>The</w:t>
      </w:r>
      <w:r>
        <w:rPr>
          <w:spacing w:val="24"/>
          <w:sz w:val="20"/>
        </w:rPr>
        <w:t> </w:t>
      </w:r>
      <w:r>
        <w:rPr>
          <w:sz w:val="20"/>
        </w:rPr>
        <w:t>dynamics</w:t>
      </w:r>
      <w:r>
        <w:rPr>
          <w:spacing w:val="23"/>
          <w:sz w:val="20"/>
        </w:rPr>
        <w:t> </w:t>
      </w:r>
      <w:r>
        <w:rPr>
          <w:sz w:val="20"/>
        </w:rPr>
        <w:t>of</w:t>
      </w:r>
      <w:r>
        <w:rPr>
          <w:spacing w:val="24"/>
          <w:sz w:val="20"/>
        </w:rPr>
        <w:t> </w:t>
      </w:r>
      <w:r>
        <w:rPr>
          <w:sz w:val="20"/>
        </w:rPr>
        <w:t>civil</w:t>
      </w:r>
      <w:r>
        <w:rPr>
          <w:spacing w:val="24"/>
          <w:sz w:val="20"/>
        </w:rPr>
        <w:t> </w:t>
      </w:r>
      <w:r>
        <w:rPr>
          <w:sz w:val="20"/>
        </w:rPr>
        <w:t>war</w:t>
      </w:r>
      <w:r>
        <w:rPr>
          <w:spacing w:val="24"/>
          <w:sz w:val="20"/>
        </w:rPr>
        <w:t> </w:t>
      </w:r>
      <w:r>
        <w:rPr>
          <w:sz w:val="20"/>
        </w:rPr>
        <w:t>duration</w:t>
      </w:r>
      <w:r>
        <w:rPr>
          <w:spacing w:val="23"/>
          <w:sz w:val="20"/>
        </w:rPr>
        <w:t> </w:t>
      </w:r>
      <w:r>
        <w:rPr>
          <w:sz w:val="20"/>
        </w:rPr>
        <w:t>and</w:t>
      </w:r>
      <w:r>
        <w:rPr>
          <w:spacing w:val="24"/>
          <w:sz w:val="20"/>
        </w:rPr>
        <w:t> </w:t>
      </w:r>
      <w:r>
        <w:rPr>
          <w:spacing w:val="-2"/>
          <w:sz w:val="20"/>
        </w:rPr>
        <w:t>outcome.</w:t>
      </w:r>
    </w:p>
    <w:p>
      <w:pPr>
        <w:spacing w:before="67"/>
        <w:ind w:left="137" w:right="0" w:firstLine="0"/>
        <w:jc w:val="left"/>
        <w:rPr>
          <w:sz w:val="20"/>
        </w:rPr>
      </w:pPr>
      <w:r>
        <w:rPr>
          <w:rFonts w:ascii="Bookman Old Style"/>
          <w:b w:val="0"/>
          <w:i/>
          <w:w w:val="90"/>
          <w:sz w:val="20"/>
        </w:rPr>
        <w:t>Journal</w:t>
      </w:r>
      <w:r>
        <w:rPr>
          <w:rFonts w:ascii="Bookman Old Style"/>
          <w:b w:val="0"/>
          <w:i/>
          <w:spacing w:val="11"/>
          <w:sz w:val="20"/>
        </w:rPr>
        <w:t> </w:t>
      </w:r>
      <w:r>
        <w:rPr>
          <w:rFonts w:ascii="Bookman Old Style"/>
          <w:b w:val="0"/>
          <w:i/>
          <w:w w:val="90"/>
          <w:sz w:val="20"/>
        </w:rPr>
        <w:t>of</w:t>
      </w:r>
      <w:r>
        <w:rPr>
          <w:rFonts w:ascii="Bookman Old Style"/>
          <w:b w:val="0"/>
          <w:i/>
          <w:spacing w:val="11"/>
          <w:sz w:val="20"/>
        </w:rPr>
        <w:t> </w:t>
      </w:r>
      <w:r>
        <w:rPr>
          <w:rFonts w:ascii="Bookman Old Style"/>
          <w:b w:val="0"/>
          <w:i/>
          <w:w w:val="90"/>
          <w:sz w:val="20"/>
        </w:rPr>
        <w:t>Peace</w:t>
      </w:r>
      <w:r>
        <w:rPr>
          <w:rFonts w:ascii="Bookman Old Style"/>
          <w:b w:val="0"/>
          <w:i/>
          <w:spacing w:val="11"/>
          <w:sz w:val="20"/>
        </w:rPr>
        <w:t> </w:t>
      </w:r>
      <w:r>
        <w:rPr>
          <w:rFonts w:ascii="Bookman Old Style"/>
          <w:b w:val="0"/>
          <w:i/>
          <w:w w:val="90"/>
          <w:sz w:val="20"/>
        </w:rPr>
        <w:t>Research</w:t>
      </w:r>
      <w:r>
        <w:rPr>
          <w:w w:val="90"/>
          <w:sz w:val="20"/>
        </w:rPr>
        <w:t>,</w:t>
      </w:r>
      <w:r>
        <w:rPr>
          <w:spacing w:val="18"/>
          <w:sz w:val="20"/>
        </w:rPr>
        <w:t> </w:t>
      </w:r>
      <w:r>
        <w:rPr>
          <w:w w:val="90"/>
          <w:sz w:val="20"/>
        </w:rPr>
        <w:t>41(3),</w:t>
      </w:r>
      <w:r>
        <w:rPr>
          <w:spacing w:val="18"/>
          <w:sz w:val="20"/>
        </w:rPr>
        <w:t> </w:t>
      </w:r>
      <w:r>
        <w:rPr>
          <w:w w:val="90"/>
          <w:sz w:val="20"/>
        </w:rPr>
        <w:t>pp.303-</w:t>
      </w:r>
      <w:r>
        <w:rPr>
          <w:spacing w:val="-2"/>
          <w:w w:val="90"/>
          <w:sz w:val="20"/>
        </w:rPr>
        <w:t>320..</w:t>
      </w:r>
    </w:p>
    <w:p>
      <w:pPr>
        <w:pStyle w:val="ListParagraph"/>
        <w:numPr>
          <w:ilvl w:val="0"/>
          <w:numId w:val="2"/>
        </w:numPr>
        <w:tabs>
          <w:tab w:pos="784" w:val="left" w:leader="none"/>
        </w:tabs>
        <w:spacing w:line="304" w:lineRule="auto" w:before="64" w:after="0"/>
        <w:ind w:left="137" w:right="1793" w:firstLine="298"/>
        <w:jc w:val="left"/>
        <w:rPr>
          <w:sz w:val="20"/>
        </w:rPr>
      </w:pPr>
      <w:r>
        <w:rPr>
          <w:spacing w:val="-6"/>
          <w:sz w:val="20"/>
        </w:rPr>
        <w:t>Dizaji,</w:t>
      </w:r>
      <w:r>
        <w:rPr>
          <w:sz w:val="20"/>
        </w:rPr>
        <w:t> </w:t>
      </w:r>
      <w:r>
        <w:rPr>
          <w:spacing w:val="-6"/>
          <w:sz w:val="20"/>
        </w:rPr>
        <w:t>S.F.,</w:t>
      </w:r>
      <w:r>
        <w:rPr>
          <w:sz w:val="20"/>
        </w:rPr>
        <w:t> </w:t>
      </w:r>
      <w:r>
        <w:rPr>
          <w:spacing w:val="-6"/>
          <w:sz w:val="20"/>
        </w:rPr>
        <w:t>2019.</w:t>
      </w:r>
      <w:r>
        <w:rPr>
          <w:spacing w:val="20"/>
          <w:sz w:val="20"/>
        </w:rPr>
        <w:t> </w:t>
      </w:r>
      <w:r>
        <w:rPr>
          <w:rFonts w:ascii="Bookman Old Style"/>
          <w:b w:val="0"/>
          <w:i/>
          <w:spacing w:val="-6"/>
          <w:sz w:val="20"/>
        </w:rPr>
        <w:t>The</w:t>
      </w:r>
      <w:r>
        <w:rPr>
          <w:rFonts w:ascii="Bookman Old Style"/>
          <w:b w:val="0"/>
          <w:i/>
          <w:spacing w:val="-7"/>
          <w:sz w:val="20"/>
        </w:rPr>
        <w:t> </w:t>
      </w:r>
      <w:r>
        <w:rPr>
          <w:rFonts w:ascii="Bookman Old Style"/>
          <w:b w:val="0"/>
          <w:i/>
          <w:spacing w:val="-6"/>
          <w:sz w:val="20"/>
        </w:rPr>
        <w:t>potential</w:t>
      </w:r>
      <w:r>
        <w:rPr>
          <w:rFonts w:ascii="Bookman Old Style"/>
          <w:b w:val="0"/>
          <w:i/>
          <w:spacing w:val="-7"/>
          <w:sz w:val="20"/>
        </w:rPr>
        <w:t> </w:t>
      </w:r>
      <w:r>
        <w:rPr>
          <w:rFonts w:ascii="Bookman Old Style"/>
          <w:b w:val="0"/>
          <w:i/>
          <w:spacing w:val="-6"/>
          <w:sz w:val="20"/>
        </w:rPr>
        <w:t>impact</w:t>
      </w:r>
      <w:r>
        <w:rPr>
          <w:rFonts w:ascii="Bookman Old Style"/>
          <w:b w:val="0"/>
          <w:i/>
          <w:spacing w:val="-7"/>
          <w:sz w:val="20"/>
        </w:rPr>
        <w:t> </w:t>
      </w:r>
      <w:r>
        <w:rPr>
          <w:rFonts w:ascii="Bookman Old Style"/>
          <w:b w:val="0"/>
          <w:i/>
          <w:spacing w:val="-6"/>
          <w:sz w:val="20"/>
        </w:rPr>
        <w:t>of</w:t>
      </w:r>
      <w:r>
        <w:rPr>
          <w:rFonts w:ascii="Bookman Old Style"/>
          <w:b w:val="0"/>
          <w:i/>
          <w:spacing w:val="-7"/>
          <w:sz w:val="20"/>
        </w:rPr>
        <w:t> </w:t>
      </w:r>
      <w:r>
        <w:rPr>
          <w:rFonts w:ascii="Bookman Old Style"/>
          <w:b w:val="0"/>
          <w:i/>
          <w:spacing w:val="-6"/>
          <w:sz w:val="20"/>
        </w:rPr>
        <w:t>oil</w:t>
      </w:r>
      <w:r>
        <w:rPr>
          <w:rFonts w:ascii="Bookman Old Style"/>
          <w:b w:val="0"/>
          <w:i/>
          <w:spacing w:val="-7"/>
          <w:sz w:val="20"/>
        </w:rPr>
        <w:t> </w:t>
      </w:r>
      <w:r>
        <w:rPr>
          <w:rFonts w:ascii="Bookman Old Style"/>
          <w:b w:val="0"/>
          <w:i/>
          <w:spacing w:val="-6"/>
          <w:sz w:val="20"/>
        </w:rPr>
        <w:t>sanctions</w:t>
      </w:r>
      <w:r>
        <w:rPr>
          <w:rFonts w:ascii="Bookman Old Style"/>
          <w:b w:val="0"/>
          <w:i/>
          <w:spacing w:val="-7"/>
          <w:sz w:val="20"/>
        </w:rPr>
        <w:t> </w:t>
      </w:r>
      <w:r>
        <w:rPr>
          <w:rFonts w:ascii="Bookman Old Style"/>
          <w:b w:val="0"/>
          <w:i/>
          <w:spacing w:val="-6"/>
          <w:sz w:val="20"/>
        </w:rPr>
        <w:t>on</w:t>
      </w:r>
      <w:r>
        <w:rPr>
          <w:rFonts w:ascii="Bookman Old Style"/>
          <w:b w:val="0"/>
          <w:i/>
          <w:spacing w:val="-7"/>
          <w:sz w:val="20"/>
        </w:rPr>
        <w:t> </w:t>
      </w:r>
      <w:r>
        <w:rPr>
          <w:rFonts w:ascii="Bookman Old Style"/>
          <w:b w:val="0"/>
          <w:i/>
          <w:spacing w:val="-6"/>
          <w:sz w:val="20"/>
        </w:rPr>
        <w:t>military</w:t>
      </w:r>
      <w:r>
        <w:rPr>
          <w:rFonts w:ascii="Bookman Old Style"/>
          <w:b w:val="0"/>
          <w:i/>
          <w:spacing w:val="-7"/>
          <w:sz w:val="20"/>
        </w:rPr>
        <w:t> </w:t>
      </w:r>
      <w:r>
        <w:rPr>
          <w:rFonts w:ascii="Bookman Old Style"/>
          <w:b w:val="0"/>
          <w:i/>
          <w:spacing w:val="-6"/>
          <w:sz w:val="20"/>
        </w:rPr>
        <w:t>spending</w:t>
      </w:r>
      <w:r>
        <w:rPr>
          <w:rFonts w:ascii="Bookman Old Style"/>
          <w:b w:val="0"/>
          <w:i/>
          <w:spacing w:val="-7"/>
          <w:sz w:val="20"/>
        </w:rPr>
        <w:t> </w:t>
      </w:r>
      <w:r>
        <w:rPr>
          <w:rFonts w:ascii="Bookman Old Style"/>
          <w:b w:val="0"/>
          <w:i/>
          <w:spacing w:val="-6"/>
          <w:sz w:val="20"/>
        </w:rPr>
        <w:t>and</w:t>
      </w:r>
      <w:r>
        <w:rPr>
          <w:rFonts w:ascii="Bookman Old Style"/>
          <w:b w:val="0"/>
          <w:i/>
          <w:spacing w:val="-7"/>
          <w:sz w:val="20"/>
        </w:rPr>
        <w:t> </w:t>
      </w:r>
      <w:r>
        <w:rPr>
          <w:rFonts w:ascii="Bookman Old Style"/>
          <w:b w:val="0"/>
          <w:i/>
          <w:spacing w:val="-6"/>
          <w:sz w:val="20"/>
        </w:rPr>
        <w:t>democracy</w:t>
      </w:r>
      <w:r>
        <w:rPr>
          <w:rFonts w:ascii="Bookman Old Style"/>
          <w:b w:val="0"/>
          <w:i/>
          <w:spacing w:val="-7"/>
          <w:sz w:val="20"/>
        </w:rPr>
        <w:t> </w:t>
      </w:r>
      <w:r>
        <w:rPr>
          <w:rFonts w:ascii="Bookman Old Style"/>
          <w:b w:val="0"/>
          <w:i/>
          <w:spacing w:val="-6"/>
          <w:sz w:val="20"/>
        </w:rPr>
        <w:t>in</w:t>
      </w:r>
      <w:r>
        <w:rPr>
          <w:rFonts w:ascii="Bookman Old Style"/>
          <w:b w:val="0"/>
          <w:i/>
          <w:spacing w:val="-6"/>
          <w:sz w:val="20"/>
        </w:rPr>
        <w:t> the</w:t>
      </w:r>
      <w:r>
        <w:rPr>
          <w:rFonts w:ascii="Bookman Old Style"/>
          <w:b w:val="0"/>
          <w:i/>
          <w:spacing w:val="-7"/>
          <w:sz w:val="20"/>
        </w:rPr>
        <w:t> </w:t>
      </w:r>
      <w:r>
        <w:rPr>
          <w:rFonts w:ascii="Bookman Old Style"/>
          <w:b w:val="0"/>
          <w:i/>
          <w:spacing w:val="-6"/>
          <w:sz w:val="20"/>
        </w:rPr>
        <w:t>Middle</w:t>
      </w:r>
      <w:r>
        <w:rPr>
          <w:rFonts w:ascii="Bookman Old Style"/>
          <w:b w:val="0"/>
          <w:i/>
          <w:spacing w:val="-7"/>
          <w:sz w:val="20"/>
        </w:rPr>
        <w:t> </w:t>
      </w:r>
      <w:r>
        <w:rPr>
          <w:rFonts w:ascii="Bookman Old Style"/>
          <w:b w:val="0"/>
          <w:i/>
          <w:spacing w:val="-6"/>
          <w:sz w:val="20"/>
        </w:rPr>
        <w:t>East</w:t>
      </w:r>
      <w:r>
        <w:rPr>
          <w:rFonts w:ascii="Bookman Old Style"/>
          <w:b w:val="0"/>
          <w:i/>
          <w:sz w:val="20"/>
        </w:rPr>
        <w:t> </w:t>
      </w:r>
      <w:r>
        <w:rPr>
          <w:rFonts w:ascii="Bookman Old Style"/>
          <w:b w:val="0"/>
          <w:i/>
          <w:spacing w:val="-6"/>
          <w:sz w:val="20"/>
        </w:rPr>
        <w:t>International</w:t>
      </w:r>
      <w:r>
        <w:rPr>
          <w:rFonts w:ascii="Bookman Old Style"/>
          <w:b w:val="0"/>
          <w:i/>
          <w:spacing w:val="-7"/>
          <w:sz w:val="20"/>
        </w:rPr>
        <w:t> </w:t>
      </w:r>
      <w:r>
        <w:rPr>
          <w:rFonts w:ascii="Bookman Old Style"/>
          <w:b w:val="0"/>
          <w:i/>
          <w:spacing w:val="-6"/>
          <w:sz w:val="20"/>
        </w:rPr>
        <w:t>Institute</w:t>
      </w:r>
      <w:r>
        <w:rPr>
          <w:rFonts w:ascii="Bookman Old Style"/>
          <w:b w:val="0"/>
          <w:i/>
          <w:spacing w:val="-7"/>
          <w:sz w:val="20"/>
        </w:rPr>
        <w:t> </w:t>
      </w:r>
      <w:r>
        <w:rPr>
          <w:rFonts w:ascii="Bookman Old Style"/>
          <w:b w:val="0"/>
          <w:i/>
          <w:spacing w:val="-6"/>
          <w:sz w:val="20"/>
        </w:rPr>
        <w:t>of</w:t>
      </w:r>
      <w:r>
        <w:rPr>
          <w:rFonts w:ascii="Bookman Old Style"/>
          <w:b w:val="0"/>
          <w:i/>
          <w:spacing w:val="-7"/>
          <w:sz w:val="20"/>
        </w:rPr>
        <w:t> </w:t>
      </w:r>
      <w:r>
        <w:rPr>
          <w:rFonts w:ascii="Bookman Old Style"/>
          <w:b w:val="0"/>
          <w:i/>
          <w:spacing w:val="-6"/>
          <w:sz w:val="20"/>
        </w:rPr>
        <w:t>Social</w:t>
      </w:r>
      <w:r>
        <w:rPr>
          <w:rFonts w:ascii="Bookman Old Style"/>
          <w:b w:val="0"/>
          <w:i/>
          <w:spacing w:val="-7"/>
          <w:sz w:val="20"/>
        </w:rPr>
        <w:t> </w:t>
      </w:r>
      <w:r>
        <w:rPr>
          <w:rFonts w:ascii="Bookman Old Style"/>
          <w:b w:val="0"/>
          <w:i/>
          <w:spacing w:val="-6"/>
          <w:sz w:val="20"/>
        </w:rPr>
        <w:t>Studies</w:t>
      </w:r>
      <w:r>
        <w:rPr>
          <w:rFonts w:ascii="Bookman Old Style"/>
          <w:b w:val="0"/>
          <w:i/>
          <w:spacing w:val="-7"/>
          <w:sz w:val="20"/>
        </w:rPr>
        <w:t> </w:t>
      </w:r>
      <w:r>
        <w:rPr>
          <w:rFonts w:ascii="Bookman Old Style"/>
          <w:b w:val="0"/>
          <w:i/>
          <w:spacing w:val="-6"/>
          <w:sz w:val="20"/>
        </w:rPr>
        <w:t>at</w:t>
      </w:r>
      <w:r>
        <w:rPr>
          <w:rFonts w:ascii="Bookman Old Style"/>
          <w:b w:val="0"/>
          <w:i/>
          <w:spacing w:val="-7"/>
          <w:sz w:val="20"/>
        </w:rPr>
        <w:t> </w:t>
      </w:r>
      <w:r>
        <w:rPr>
          <w:rFonts w:ascii="Bookman Old Style"/>
          <w:b w:val="0"/>
          <w:i/>
          <w:spacing w:val="-6"/>
          <w:sz w:val="20"/>
        </w:rPr>
        <w:t>Erasmus</w:t>
      </w:r>
      <w:r>
        <w:rPr>
          <w:rFonts w:ascii="Bookman Old Style"/>
          <w:b w:val="0"/>
          <w:i/>
          <w:spacing w:val="-7"/>
          <w:sz w:val="20"/>
        </w:rPr>
        <w:t> </w:t>
      </w:r>
      <w:r>
        <w:rPr>
          <w:rFonts w:ascii="Bookman Old Style"/>
          <w:b w:val="0"/>
          <w:i/>
          <w:spacing w:val="-6"/>
          <w:sz w:val="20"/>
        </w:rPr>
        <w:t>University</w:t>
      </w:r>
      <w:r>
        <w:rPr>
          <w:rFonts w:ascii="Bookman Old Style"/>
          <w:b w:val="0"/>
          <w:i/>
          <w:spacing w:val="-7"/>
          <w:sz w:val="20"/>
        </w:rPr>
        <w:t> </w:t>
      </w:r>
      <w:r>
        <w:rPr>
          <w:rFonts w:ascii="Bookman Old Style"/>
          <w:b w:val="0"/>
          <w:i/>
          <w:spacing w:val="-6"/>
          <w:sz w:val="20"/>
        </w:rPr>
        <w:t>Rotterdam</w:t>
      </w:r>
      <w:r>
        <w:rPr>
          <w:rFonts w:ascii="Bookman Old Style"/>
          <w:b w:val="0"/>
          <w:i/>
          <w:sz w:val="20"/>
        </w:rPr>
        <w:t> </w:t>
      </w:r>
      <w:r>
        <w:rPr>
          <w:spacing w:val="-6"/>
          <w:sz w:val="20"/>
        </w:rPr>
        <w:t>(No.</w:t>
      </w:r>
      <w:r>
        <w:rPr>
          <w:spacing w:val="18"/>
          <w:sz w:val="20"/>
        </w:rPr>
        <w:t> </w:t>
      </w:r>
      <w:r>
        <w:rPr>
          <w:spacing w:val="-6"/>
          <w:sz w:val="20"/>
        </w:rPr>
        <w:t>644).</w:t>
      </w:r>
    </w:p>
    <w:p>
      <w:pPr>
        <w:pStyle w:val="ListParagraph"/>
        <w:numPr>
          <w:ilvl w:val="0"/>
          <w:numId w:val="2"/>
        </w:numPr>
        <w:tabs>
          <w:tab w:pos="821" w:val="left" w:leader="none"/>
        </w:tabs>
        <w:spacing w:line="309" w:lineRule="auto" w:before="6" w:after="0"/>
        <w:ind w:left="137" w:right="1794" w:firstLine="298"/>
        <w:jc w:val="both"/>
        <w:rPr>
          <w:sz w:val="20"/>
        </w:rPr>
      </w:pPr>
      <w:r>
        <w:rPr>
          <w:sz w:val="20"/>
        </w:rPr>
        <w:t>Dizaji, S.F., 2022.</w:t>
      </w:r>
      <w:r>
        <w:rPr>
          <w:spacing w:val="40"/>
          <w:sz w:val="20"/>
        </w:rPr>
        <w:t> </w:t>
      </w:r>
      <w:r>
        <w:rPr>
          <w:sz w:val="20"/>
        </w:rPr>
        <w:t>The impact of negative oil shocks on military spending and democracy in the</w:t>
      </w:r>
      <w:r>
        <w:rPr>
          <w:spacing w:val="-13"/>
          <w:sz w:val="20"/>
        </w:rPr>
        <w:t> </w:t>
      </w:r>
      <w:r>
        <w:rPr>
          <w:sz w:val="20"/>
        </w:rPr>
        <w:t>oil</w:t>
      </w:r>
      <w:r>
        <w:rPr>
          <w:spacing w:val="-12"/>
          <w:sz w:val="20"/>
        </w:rPr>
        <w:t> </w:t>
      </w:r>
      <w:r>
        <w:rPr>
          <w:sz w:val="20"/>
        </w:rPr>
        <w:t>states</w:t>
      </w:r>
      <w:r>
        <w:rPr>
          <w:spacing w:val="-12"/>
          <w:sz w:val="20"/>
        </w:rPr>
        <w:t> </w:t>
      </w:r>
      <w:r>
        <w:rPr>
          <w:sz w:val="20"/>
        </w:rPr>
        <w:t>of</w:t>
      </w:r>
      <w:r>
        <w:rPr>
          <w:spacing w:val="-12"/>
          <w:sz w:val="20"/>
        </w:rPr>
        <w:t> </w:t>
      </w:r>
      <w:r>
        <w:rPr>
          <w:sz w:val="20"/>
        </w:rPr>
        <w:t>the</w:t>
      </w:r>
      <w:r>
        <w:rPr>
          <w:spacing w:val="-12"/>
          <w:sz w:val="20"/>
        </w:rPr>
        <w:t> </w:t>
      </w:r>
      <w:r>
        <w:rPr>
          <w:sz w:val="20"/>
        </w:rPr>
        <w:t>greater</w:t>
      </w:r>
      <w:r>
        <w:rPr>
          <w:spacing w:val="-12"/>
          <w:sz w:val="20"/>
        </w:rPr>
        <w:t> </w:t>
      </w:r>
      <w:r>
        <w:rPr>
          <w:sz w:val="20"/>
        </w:rPr>
        <w:t>Middle</w:t>
      </w:r>
      <w:r>
        <w:rPr>
          <w:spacing w:val="-12"/>
          <w:sz w:val="20"/>
        </w:rPr>
        <w:t> </w:t>
      </w:r>
      <w:r>
        <w:rPr>
          <w:sz w:val="20"/>
        </w:rPr>
        <w:t>East:</w:t>
      </w:r>
      <w:r>
        <w:rPr>
          <w:spacing w:val="-12"/>
          <w:sz w:val="20"/>
        </w:rPr>
        <w:t> </w:t>
      </w:r>
      <w:r>
        <w:rPr>
          <w:sz w:val="20"/>
        </w:rPr>
        <w:t>Implications</w:t>
      </w:r>
      <w:r>
        <w:rPr>
          <w:spacing w:val="-12"/>
          <w:sz w:val="20"/>
        </w:rPr>
        <w:t> </w:t>
      </w:r>
      <w:r>
        <w:rPr>
          <w:sz w:val="20"/>
        </w:rPr>
        <w:t>for</w:t>
      </w:r>
      <w:r>
        <w:rPr>
          <w:spacing w:val="-12"/>
          <w:sz w:val="20"/>
        </w:rPr>
        <w:t> </w:t>
      </w:r>
      <w:r>
        <w:rPr>
          <w:sz w:val="20"/>
        </w:rPr>
        <w:t>the</w:t>
      </w:r>
      <w:r>
        <w:rPr>
          <w:spacing w:val="-12"/>
          <w:sz w:val="20"/>
        </w:rPr>
        <w:t> </w:t>
      </w:r>
      <w:r>
        <w:rPr>
          <w:sz w:val="20"/>
        </w:rPr>
        <w:t>oil</w:t>
      </w:r>
      <w:r>
        <w:rPr>
          <w:spacing w:val="-12"/>
          <w:sz w:val="20"/>
        </w:rPr>
        <w:t> </w:t>
      </w:r>
      <w:r>
        <w:rPr>
          <w:sz w:val="20"/>
        </w:rPr>
        <w:t>sanctions.</w:t>
      </w:r>
      <w:r>
        <w:rPr>
          <w:spacing w:val="-12"/>
          <w:sz w:val="20"/>
        </w:rPr>
        <w:t> </w:t>
      </w:r>
      <w:r>
        <w:rPr>
          <w:rFonts w:ascii="Bookman Old Style"/>
          <w:b w:val="0"/>
          <w:i/>
          <w:sz w:val="20"/>
        </w:rPr>
        <w:t>Journal</w:t>
      </w:r>
      <w:r>
        <w:rPr>
          <w:rFonts w:ascii="Bookman Old Style"/>
          <w:b w:val="0"/>
          <w:i/>
          <w:spacing w:val="-15"/>
          <w:sz w:val="20"/>
        </w:rPr>
        <w:t> </w:t>
      </w:r>
      <w:r>
        <w:rPr>
          <w:rFonts w:ascii="Bookman Old Style"/>
          <w:b w:val="0"/>
          <w:i/>
          <w:sz w:val="20"/>
        </w:rPr>
        <w:t>of</w:t>
      </w:r>
      <w:r>
        <w:rPr>
          <w:rFonts w:ascii="Bookman Old Style"/>
          <w:b w:val="0"/>
          <w:i/>
          <w:spacing w:val="-15"/>
          <w:sz w:val="20"/>
        </w:rPr>
        <w:t> </w:t>
      </w:r>
      <w:r>
        <w:rPr>
          <w:rFonts w:ascii="Bookman Old Style"/>
          <w:b w:val="0"/>
          <w:i/>
          <w:sz w:val="20"/>
        </w:rPr>
        <w:t>Peace</w:t>
      </w:r>
      <w:r>
        <w:rPr>
          <w:rFonts w:ascii="Bookman Old Style"/>
          <w:b w:val="0"/>
          <w:i/>
          <w:spacing w:val="-15"/>
          <w:sz w:val="20"/>
        </w:rPr>
        <w:t> </w:t>
      </w:r>
      <w:r>
        <w:rPr>
          <w:rFonts w:ascii="Bookman Old Style"/>
          <w:b w:val="0"/>
          <w:i/>
          <w:sz w:val="20"/>
        </w:rPr>
        <w:t>Research</w:t>
      </w:r>
      <w:r>
        <w:rPr>
          <w:sz w:val="20"/>
        </w:rPr>
        <w:t>, </w:t>
      </w:r>
      <w:r>
        <w:rPr>
          <w:spacing w:val="-2"/>
          <w:sz w:val="20"/>
        </w:rPr>
        <w:t>p.0022.</w:t>
      </w:r>
    </w:p>
    <w:p>
      <w:pPr>
        <w:pStyle w:val="ListParagraph"/>
        <w:numPr>
          <w:ilvl w:val="0"/>
          <w:numId w:val="2"/>
        </w:numPr>
        <w:tabs>
          <w:tab w:pos="840" w:val="left" w:leader="none"/>
        </w:tabs>
        <w:spacing w:line="316" w:lineRule="auto" w:before="8" w:after="0"/>
        <w:ind w:left="137" w:right="1794" w:firstLine="298"/>
        <w:jc w:val="both"/>
        <w:rPr>
          <w:sz w:val="20"/>
        </w:rPr>
      </w:pPr>
      <w:r>
        <w:rPr>
          <w:sz w:val="20"/>
        </w:rPr>
        <w:t>Dube, O.,</w:t>
      </w:r>
      <w:r>
        <w:rPr>
          <w:spacing w:val="40"/>
          <w:sz w:val="20"/>
        </w:rPr>
        <w:t> </w:t>
      </w:r>
      <w:r>
        <w:rPr>
          <w:sz w:val="20"/>
        </w:rPr>
        <w:t>Vargas, J. F. (2013).</w:t>
      </w:r>
      <w:r>
        <w:rPr>
          <w:spacing w:val="40"/>
          <w:sz w:val="20"/>
        </w:rPr>
        <w:t> </w:t>
      </w:r>
      <w:r>
        <w:rPr>
          <w:sz w:val="20"/>
        </w:rPr>
        <w:t>Commodity price shocks and civil conflict: Evidence from Colombia.</w:t>
      </w:r>
      <w:r>
        <w:rPr>
          <w:spacing w:val="30"/>
          <w:sz w:val="20"/>
        </w:rPr>
        <w:t> </w:t>
      </w:r>
      <w:r>
        <w:rPr>
          <w:sz w:val="20"/>
        </w:rPr>
        <w:t>The review of economic studies, 80(4), 1384-1421.</w:t>
      </w:r>
    </w:p>
    <w:p>
      <w:pPr>
        <w:pStyle w:val="ListParagraph"/>
        <w:numPr>
          <w:ilvl w:val="0"/>
          <w:numId w:val="2"/>
        </w:numPr>
        <w:tabs>
          <w:tab w:pos="784" w:val="left" w:leader="none"/>
        </w:tabs>
        <w:spacing w:line="309" w:lineRule="auto" w:before="0" w:after="0"/>
        <w:ind w:left="137" w:right="1793" w:firstLine="298"/>
        <w:jc w:val="both"/>
        <w:rPr>
          <w:sz w:val="20"/>
        </w:rPr>
      </w:pPr>
      <w:r>
        <w:rPr>
          <w:sz w:val="20"/>
        </w:rPr>
        <w:t>Duffield, J.,</w:t>
      </w:r>
      <w:r>
        <w:rPr>
          <w:spacing w:val="40"/>
          <w:sz w:val="20"/>
        </w:rPr>
        <w:t> </w:t>
      </w:r>
      <w:r>
        <w:rPr>
          <w:sz w:val="20"/>
        </w:rPr>
        <w:t>Klare, M. T. (2005). Blood and Oil: The Dangers and Consequences of America’s Growing</w:t>
      </w:r>
      <w:r>
        <w:rPr>
          <w:spacing w:val="-6"/>
          <w:sz w:val="20"/>
        </w:rPr>
        <w:t> </w:t>
      </w:r>
      <w:r>
        <w:rPr>
          <w:sz w:val="20"/>
        </w:rPr>
        <w:t>Dependency</w:t>
      </w:r>
      <w:r>
        <w:rPr>
          <w:spacing w:val="-5"/>
          <w:sz w:val="20"/>
        </w:rPr>
        <w:t> </w:t>
      </w:r>
      <w:r>
        <w:rPr>
          <w:sz w:val="20"/>
        </w:rPr>
        <w:t>on</w:t>
      </w:r>
      <w:r>
        <w:rPr>
          <w:spacing w:val="-5"/>
          <w:sz w:val="20"/>
        </w:rPr>
        <w:t> </w:t>
      </w:r>
      <w:r>
        <w:rPr>
          <w:sz w:val="20"/>
        </w:rPr>
        <w:t>Imported</w:t>
      </w:r>
      <w:r>
        <w:rPr>
          <w:spacing w:val="-5"/>
          <w:sz w:val="20"/>
        </w:rPr>
        <w:t> </w:t>
      </w:r>
      <w:r>
        <w:rPr>
          <w:sz w:val="20"/>
        </w:rPr>
        <w:t>Petroleum.</w:t>
      </w:r>
      <w:r>
        <w:rPr>
          <w:spacing w:val="10"/>
          <w:sz w:val="20"/>
        </w:rPr>
        <w:t> </w:t>
      </w:r>
      <w:r>
        <w:rPr>
          <w:rFonts w:ascii="Bookman Old Style" w:hAnsi="Bookman Old Style"/>
          <w:b w:val="0"/>
          <w:i/>
          <w:sz w:val="20"/>
        </w:rPr>
        <w:t>Naval</w:t>
      </w:r>
      <w:r>
        <w:rPr>
          <w:rFonts w:ascii="Bookman Old Style" w:hAnsi="Bookman Old Style"/>
          <w:b w:val="0"/>
          <w:i/>
          <w:spacing w:val="-14"/>
          <w:sz w:val="20"/>
        </w:rPr>
        <w:t> </w:t>
      </w:r>
      <w:r>
        <w:rPr>
          <w:rFonts w:ascii="Bookman Old Style" w:hAnsi="Bookman Old Style"/>
          <w:b w:val="0"/>
          <w:i/>
          <w:sz w:val="20"/>
        </w:rPr>
        <w:t>War</w:t>
      </w:r>
      <w:r>
        <w:rPr>
          <w:rFonts w:ascii="Bookman Old Style" w:hAnsi="Bookman Old Style"/>
          <w:b w:val="0"/>
          <w:i/>
          <w:spacing w:val="-14"/>
          <w:sz w:val="20"/>
        </w:rPr>
        <w:t> </w:t>
      </w:r>
      <w:r>
        <w:rPr>
          <w:rFonts w:ascii="Bookman Old Style" w:hAnsi="Bookman Old Style"/>
          <w:b w:val="0"/>
          <w:i/>
          <w:sz w:val="20"/>
        </w:rPr>
        <w:t>College</w:t>
      </w:r>
      <w:r>
        <w:rPr>
          <w:rFonts w:ascii="Bookman Old Style" w:hAnsi="Bookman Old Style"/>
          <w:b w:val="0"/>
          <w:i/>
          <w:spacing w:val="-14"/>
          <w:sz w:val="20"/>
        </w:rPr>
        <w:t> </w:t>
      </w:r>
      <w:r>
        <w:rPr>
          <w:rFonts w:ascii="Bookman Old Style" w:hAnsi="Bookman Old Style"/>
          <w:b w:val="0"/>
          <w:i/>
          <w:sz w:val="20"/>
        </w:rPr>
        <w:t>Review</w:t>
      </w:r>
      <w:r>
        <w:rPr>
          <w:sz w:val="20"/>
        </w:rPr>
        <w:t>,</w:t>
      </w:r>
      <w:r>
        <w:rPr>
          <w:spacing w:val="-5"/>
          <w:sz w:val="20"/>
        </w:rPr>
        <w:t> </w:t>
      </w:r>
      <w:r>
        <w:rPr>
          <w:sz w:val="20"/>
        </w:rPr>
        <w:t>58(2),</w:t>
      </w:r>
      <w:r>
        <w:rPr>
          <w:spacing w:val="-5"/>
          <w:sz w:val="20"/>
        </w:rPr>
        <w:t> </w:t>
      </w:r>
      <w:r>
        <w:rPr>
          <w:sz w:val="20"/>
        </w:rPr>
        <w:t>9.</w:t>
      </w:r>
    </w:p>
    <w:p>
      <w:pPr>
        <w:pStyle w:val="ListParagraph"/>
        <w:numPr>
          <w:ilvl w:val="0"/>
          <w:numId w:val="2"/>
        </w:numPr>
        <w:tabs>
          <w:tab w:pos="864" w:val="left" w:leader="none"/>
        </w:tabs>
        <w:spacing w:line="309" w:lineRule="auto" w:before="0" w:after="0"/>
        <w:ind w:left="137" w:right="1796" w:firstLine="298"/>
        <w:jc w:val="both"/>
        <w:rPr>
          <w:sz w:val="20"/>
        </w:rPr>
      </w:pPr>
      <w:r>
        <w:rPr>
          <w:sz w:val="20"/>
        </w:rPr>
        <w:t>Ebiede, T.M., 2017.</w:t>
      </w:r>
      <w:r>
        <w:rPr>
          <w:spacing w:val="40"/>
          <w:sz w:val="20"/>
        </w:rPr>
        <w:t> </w:t>
      </w:r>
      <w:r>
        <w:rPr>
          <w:sz w:val="20"/>
        </w:rPr>
        <w:t>Beyond rebellion:</w:t>
      </w:r>
      <w:r>
        <w:rPr>
          <w:spacing w:val="40"/>
          <w:sz w:val="20"/>
        </w:rPr>
        <w:t> </w:t>
      </w:r>
      <w:r>
        <w:rPr>
          <w:sz w:val="20"/>
        </w:rPr>
        <w:t>Uncaptured dimensions of violent conflicts and the implications for peacebuilding in Nigeria’s Niger Delta.</w:t>
      </w:r>
      <w:r>
        <w:rPr>
          <w:spacing w:val="16"/>
          <w:sz w:val="20"/>
        </w:rPr>
        <w:t> </w:t>
      </w:r>
      <w:r>
        <w:rPr>
          <w:rFonts w:ascii="Bookman Old Style" w:hAnsi="Bookman Old Style"/>
          <w:b w:val="0"/>
          <w:i/>
          <w:sz w:val="20"/>
        </w:rPr>
        <w:t>African</w:t>
      </w:r>
      <w:r>
        <w:rPr>
          <w:rFonts w:ascii="Bookman Old Style" w:hAnsi="Bookman Old Style"/>
          <w:b w:val="0"/>
          <w:i/>
          <w:spacing w:val="-8"/>
          <w:sz w:val="20"/>
        </w:rPr>
        <w:t> </w:t>
      </w:r>
      <w:r>
        <w:rPr>
          <w:rFonts w:ascii="Bookman Old Style" w:hAnsi="Bookman Old Style"/>
          <w:b w:val="0"/>
          <w:i/>
          <w:sz w:val="20"/>
        </w:rPr>
        <w:t>security,</w:t>
      </w:r>
      <w:r>
        <w:rPr>
          <w:rFonts w:ascii="Bookman Old Style" w:hAnsi="Bookman Old Style"/>
          <w:b w:val="0"/>
          <w:i/>
          <w:spacing w:val="-11"/>
          <w:sz w:val="20"/>
        </w:rPr>
        <w:t> </w:t>
      </w:r>
      <w:r>
        <w:rPr>
          <w:sz w:val="20"/>
        </w:rPr>
        <w:t>10(1), pp.25-46.</w:t>
      </w:r>
    </w:p>
    <w:p>
      <w:pPr>
        <w:pStyle w:val="ListParagraph"/>
        <w:numPr>
          <w:ilvl w:val="0"/>
          <w:numId w:val="2"/>
        </w:numPr>
        <w:tabs>
          <w:tab w:pos="778" w:val="left" w:leader="none"/>
        </w:tabs>
        <w:spacing w:line="229" w:lineRule="exact" w:before="0" w:after="0"/>
        <w:ind w:left="777" w:right="0" w:hanging="342"/>
        <w:jc w:val="left"/>
        <w:rPr>
          <w:sz w:val="20"/>
        </w:rPr>
      </w:pPr>
      <w:r>
        <w:rPr>
          <w:spacing w:val="9"/>
          <w:w w:val="99"/>
          <w:sz w:val="20"/>
        </w:rPr>
        <w:t>Erdo</w:t>
      </w:r>
      <w:r>
        <w:rPr>
          <w:spacing w:val="-91"/>
          <w:w w:val="101"/>
          <w:sz w:val="20"/>
        </w:rPr>
        <w:t>˘</w:t>
      </w:r>
      <w:r>
        <w:rPr>
          <w:spacing w:val="9"/>
          <w:w w:val="99"/>
          <w:sz w:val="20"/>
        </w:rPr>
        <w:t>gan,</w:t>
      </w:r>
      <w:r>
        <w:rPr>
          <w:spacing w:val="-8"/>
          <w:w w:val="99"/>
          <w:sz w:val="20"/>
        </w:rPr>
        <w:t> </w:t>
      </w:r>
      <w:r>
        <w:rPr>
          <w:spacing w:val="-2"/>
          <w:sz w:val="20"/>
        </w:rPr>
        <w:t>S.,</w:t>
      </w:r>
      <w:r>
        <w:rPr>
          <w:spacing w:val="-9"/>
          <w:sz w:val="20"/>
        </w:rPr>
        <w:t> </w:t>
      </w:r>
      <w:r>
        <w:rPr>
          <w:spacing w:val="-117"/>
          <w:w w:val="112"/>
          <w:sz w:val="20"/>
        </w:rPr>
        <w:t>C</w:t>
      </w:r>
      <w:r>
        <w:rPr>
          <w:w w:val="88"/>
          <w:sz w:val="20"/>
        </w:rPr>
        <w:t>¸</w:t>
      </w:r>
      <w:r>
        <w:rPr>
          <w:spacing w:val="-21"/>
          <w:sz w:val="20"/>
        </w:rPr>
        <w:t> </w:t>
      </w:r>
      <w:r>
        <w:rPr>
          <w:spacing w:val="-2"/>
          <w:sz w:val="20"/>
        </w:rPr>
        <w:t>evik,</w:t>
      </w:r>
      <w:r>
        <w:rPr>
          <w:spacing w:val="-8"/>
          <w:sz w:val="20"/>
        </w:rPr>
        <w:t> </w:t>
      </w:r>
      <w:r>
        <w:rPr>
          <w:spacing w:val="-2"/>
          <w:sz w:val="20"/>
        </w:rPr>
        <w:t>E.I</w:t>
      </w:r>
      <w:r>
        <w:rPr>
          <w:spacing w:val="-2"/>
          <w:position w:val="5"/>
          <w:sz w:val="20"/>
        </w:rPr>
        <w:t>˙</w:t>
      </w:r>
      <w:r>
        <w:rPr>
          <w:spacing w:val="-2"/>
          <w:sz w:val="20"/>
        </w:rPr>
        <w:t>.</w:t>
      </w:r>
      <w:r>
        <w:rPr>
          <w:spacing w:val="-9"/>
          <w:sz w:val="20"/>
        </w:rPr>
        <w:t> </w:t>
      </w:r>
      <w:r>
        <w:rPr>
          <w:spacing w:val="-2"/>
          <w:sz w:val="20"/>
        </w:rPr>
        <w:t>and</w:t>
      </w:r>
      <w:r>
        <w:rPr>
          <w:spacing w:val="-9"/>
          <w:sz w:val="20"/>
        </w:rPr>
        <w:t> </w:t>
      </w:r>
      <w:r>
        <w:rPr>
          <w:spacing w:val="-2"/>
          <w:sz w:val="20"/>
        </w:rPr>
        <w:t>Gedikli,</w:t>
      </w:r>
      <w:r>
        <w:rPr>
          <w:spacing w:val="-7"/>
          <w:sz w:val="20"/>
        </w:rPr>
        <w:t> </w:t>
      </w:r>
      <w:r>
        <w:rPr>
          <w:spacing w:val="-2"/>
          <w:sz w:val="20"/>
        </w:rPr>
        <w:t>A.,</w:t>
      </w:r>
      <w:r>
        <w:rPr>
          <w:spacing w:val="-7"/>
          <w:sz w:val="20"/>
        </w:rPr>
        <w:t> </w:t>
      </w:r>
      <w:r>
        <w:rPr>
          <w:spacing w:val="-2"/>
          <w:sz w:val="20"/>
        </w:rPr>
        <w:t>2020.</w:t>
      </w:r>
      <w:r>
        <w:rPr>
          <w:spacing w:val="11"/>
          <w:sz w:val="20"/>
        </w:rPr>
        <w:t> </w:t>
      </w:r>
      <w:r>
        <w:rPr>
          <w:spacing w:val="-2"/>
          <w:sz w:val="20"/>
        </w:rPr>
        <w:t>Relationship</w:t>
      </w:r>
      <w:r>
        <w:rPr>
          <w:spacing w:val="-8"/>
          <w:sz w:val="20"/>
        </w:rPr>
        <w:t> </w:t>
      </w:r>
      <w:r>
        <w:rPr>
          <w:spacing w:val="-2"/>
          <w:sz w:val="20"/>
        </w:rPr>
        <w:t>between</w:t>
      </w:r>
      <w:r>
        <w:rPr>
          <w:spacing w:val="-7"/>
          <w:sz w:val="20"/>
        </w:rPr>
        <w:t> </w:t>
      </w:r>
      <w:r>
        <w:rPr>
          <w:spacing w:val="-2"/>
          <w:sz w:val="20"/>
        </w:rPr>
        <w:t>oil</w:t>
      </w:r>
      <w:r>
        <w:rPr>
          <w:spacing w:val="-7"/>
          <w:sz w:val="20"/>
        </w:rPr>
        <w:t> </w:t>
      </w:r>
      <w:r>
        <w:rPr>
          <w:spacing w:val="-2"/>
          <w:sz w:val="20"/>
        </w:rPr>
        <w:t>price</w:t>
      </w:r>
      <w:r>
        <w:rPr>
          <w:spacing w:val="-8"/>
          <w:sz w:val="20"/>
        </w:rPr>
        <w:t> </w:t>
      </w:r>
      <w:r>
        <w:rPr>
          <w:spacing w:val="-2"/>
          <w:sz w:val="20"/>
        </w:rPr>
        <w:t>volatility</w:t>
      </w:r>
      <w:r>
        <w:rPr>
          <w:spacing w:val="-7"/>
          <w:sz w:val="20"/>
        </w:rPr>
        <w:t> </w:t>
      </w:r>
      <w:r>
        <w:rPr>
          <w:spacing w:val="-2"/>
          <w:sz w:val="20"/>
        </w:rPr>
        <w:t>and</w:t>
      </w:r>
      <w:r>
        <w:rPr>
          <w:spacing w:val="-7"/>
          <w:sz w:val="20"/>
        </w:rPr>
        <w:t> </w:t>
      </w:r>
      <w:r>
        <w:rPr>
          <w:spacing w:val="-4"/>
          <w:sz w:val="20"/>
        </w:rPr>
        <w:t>mil-</w:t>
      </w:r>
    </w:p>
    <w:p>
      <w:pPr>
        <w:spacing w:line="309" w:lineRule="auto" w:before="66"/>
        <w:ind w:left="137" w:right="1789" w:firstLine="0"/>
        <w:jc w:val="left"/>
        <w:rPr>
          <w:sz w:val="20"/>
        </w:rPr>
      </w:pPr>
      <w:r>
        <w:rPr>
          <w:spacing w:val="-4"/>
          <w:sz w:val="20"/>
        </w:rPr>
        <w:t>itary expenditures in GCC countries.</w:t>
      </w:r>
      <w:r>
        <w:rPr>
          <w:spacing w:val="17"/>
          <w:sz w:val="20"/>
        </w:rPr>
        <w:t> </w:t>
      </w:r>
      <w:r>
        <w:rPr>
          <w:rFonts w:ascii="Bookman Old Style"/>
          <w:b w:val="0"/>
          <w:i/>
          <w:spacing w:val="-4"/>
          <w:sz w:val="20"/>
        </w:rPr>
        <w:t>Environmental</w:t>
      </w:r>
      <w:r>
        <w:rPr>
          <w:rFonts w:ascii="Bookman Old Style"/>
          <w:b w:val="0"/>
          <w:i/>
          <w:spacing w:val="-10"/>
          <w:sz w:val="20"/>
        </w:rPr>
        <w:t> </w:t>
      </w:r>
      <w:r>
        <w:rPr>
          <w:rFonts w:ascii="Bookman Old Style"/>
          <w:b w:val="0"/>
          <w:i/>
          <w:spacing w:val="-4"/>
          <w:sz w:val="20"/>
        </w:rPr>
        <w:t>Science</w:t>
      </w:r>
      <w:r>
        <w:rPr>
          <w:rFonts w:ascii="Bookman Old Style"/>
          <w:b w:val="0"/>
          <w:i/>
          <w:spacing w:val="-10"/>
          <w:sz w:val="20"/>
        </w:rPr>
        <w:t> </w:t>
      </w:r>
      <w:r>
        <w:rPr>
          <w:rFonts w:ascii="Bookman Old Style"/>
          <w:b w:val="0"/>
          <w:i/>
          <w:spacing w:val="-4"/>
          <w:sz w:val="20"/>
        </w:rPr>
        <w:t>and</w:t>
      </w:r>
      <w:r>
        <w:rPr>
          <w:rFonts w:ascii="Bookman Old Style"/>
          <w:b w:val="0"/>
          <w:i/>
          <w:spacing w:val="-10"/>
          <w:sz w:val="20"/>
        </w:rPr>
        <w:t> </w:t>
      </w:r>
      <w:r>
        <w:rPr>
          <w:rFonts w:ascii="Bookman Old Style"/>
          <w:b w:val="0"/>
          <w:i/>
          <w:spacing w:val="-4"/>
          <w:sz w:val="20"/>
        </w:rPr>
        <w:t>Pollution</w:t>
      </w:r>
      <w:r>
        <w:rPr>
          <w:rFonts w:ascii="Bookman Old Style"/>
          <w:b w:val="0"/>
          <w:i/>
          <w:spacing w:val="-10"/>
          <w:sz w:val="20"/>
        </w:rPr>
        <w:t> </w:t>
      </w:r>
      <w:r>
        <w:rPr>
          <w:rFonts w:ascii="Bookman Old Style"/>
          <w:b w:val="0"/>
          <w:i/>
          <w:spacing w:val="-4"/>
          <w:sz w:val="20"/>
        </w:rPr>
        <w:t>Research,</w:t>
      </w:r>
      <w:r>
        <w:rPr>
          <w:rFonts w:ascii="Bookman Old Style"/>
          <w:b w:val="0"/>
          <w:i/>
          <w:spacing w:val="-11"/>
          <w:sz w:val="20"/>
        </w:rPr>
        <w:t> </w:t>
      </w:r>
      <w:r>
        <w:rPr>
          <w:spacing w:val="-4"/>
          <w:sz w:val="20"/>
        </w:rPr>
        <w:t>27(14), pp.17072- </w:t>
      </w:r>
      <w:r>
        <w:rPr>
          <w:spacing w:val="-2"/>
          <w:sz w:val="20"/>
        </w:rPr>
        <w:t>17084.</w:t>
      </w:r>
    </w:p>
    <w:p>
      <w:pPr>
        <w:pStyle w:val="ListParagraph"/>
        <w:numPr>
          <w:ilvl w:val="0"/>
          <w:numId w:val="2"/>
        </w:numPr>
        <w:tabs>
          <w:tab w:pos="780" w:val="left" w:leader="none"/>
        </w:tabs>
        <w:spacing w:line="304" w:lineRule="auto" w:before="2" w:after="0"/>
        <w:ind w:left="137" w:right="1794" w:firstLine="298"/>
        <w:jc w:val="left"/>
        <w:rPr>
          <w:sz w:val="20"/>
        </w:rPr>
      </w:pPr>
      <w:r>
        <w:rPr>
          <w:spacing w:val="-2"/>
          <w:sz w:val="20"/>
        </w:rPr>
        <w:t>Farzanegan, M.R., 2011.</w:t>
      </w:r>
      <w:r>
        <w:rPr>
          <w:spacing w:val="14"/>
          <w:sz w:val="20"/>
        </w:rPr>
        <w:t> </w:t>
      </w:r>
      <w:r>
        <w:rPr>
          <w:spacing w:val="-2"/>
          <w:sz w:val="20"/>
        </w:rPr>
        <w:t>Oil revenue shocks and government spending behavior in Iran.</w:t>
      </w:r>
      <w:r>
        <w:rPr>
          <w:spacing w:val="16"/>
          <w:sz w:val="20"/>
        </w:rPr>
        <w:t> </w:t>
      </w:r>
      <w:r>
        <w:rPr>
          <w:rFonts w:ascii="Bookman Old Style"/>
          <w:b w:val="0"/>
          <w:i/>
          <w:spacing w:val="-2"/>
          <w:sz w:val="20"/>
        </w:rPr>
        <w:t>Energy</w:t>
      </w:r>
      <w:r>
        <w:rPr>
          <w:rFonts w:ascii="Bookman Old Style"/>
          <w:b w:val="0"/>
          <w:i/>
          <w:spacing w:val="-2"/>
          <w:sz w:val="20"/>
        </w:rPr>
        <w:t> </w:t>
      </w:r>
      <w:r>
        <w:rPr>
          <w:rFonts w:ascii="Bookman Old Style"/>
          <w:b w:val="0"/>
          <w:i/>
          <w:sz w:val="20"/>
        </w:rPr>
        <w:t>Economics</w:t>
      </w:r>
      <w:r>
        <w:rPr>
          <w:sz w:val="20"/>
        </w:rPr>
        <w:t>, 33(6), pp.1055-1069.</w:t>
      </w:r>
    </w:p>
    <w:p>
      <w:pPr>
        <w:pStyle w:val="ListParagraph"/>
        <w:numPr>
          <w:ilvl w:val="0"/>
          <w:numId w:val="2"/>
        </w:numPr>
        <w:tabs>
          <w:tab w:pos="785" w:val="left" w:leader="none"/>
        </w:tabs>
        <w:spacing w:line="309" w:lineRule="auto" w:before="6" w:after="0"/>
        <w:ind w:left="137" w:right="1794" w:firstLine="298"/>
        <w:jc w:val="left"/>
        <w:rPr>
          <w:sz w:val="20"/>
        </w:rPr>
      </w:pPr>
      <w:r>
        <w:rPr>
          <w:sz w:val="20"/>
        </w:rPr>
        <w:t>Farzanegan, M.R., 2018.</w:t>
      </w:r>
      <w:r>
        <w:rPr>
          <w:spacing w:val="22"/>
          <w:sz w:val="20"/>
        </w:rPr>
        <w:t> </w:t>
      </w:r>
      <w:r>
        <w:rPr>
          <w:sz w:val="20"/>
        </w:rPr>
        <w:t>The impact of oil rents on military spending in the GCC region:</w:t>
      </w:r>
      <w:r>
        <w:rPr>
          <w:spacing w:val="21"/>
          <w:sz w:val="20"/>
        </w:rPr>
        <w:t> </w:t>
      </w:r>
      <w:r>
        <w:rPr>
          <w:sz w:val="20"/>
        </w:rPr>
        <w:t>does </w:t>
      </w:r>
      <w:r>
        <w:rPr>
          <w:spacing w:val="-2"/>
          <w:sz w:val="20"/>
        </w:rPr>
        <w:t>corruption matter?.</w:t>
      </w:r>
      <w:r>
        <w:rPr>
          <w:spacing w:val="22"/>
          <w:sz w:val="20"/>
        </w:rPr>
        <w:t> </w:t>
      </w:r>
      <w:r>
        <w:rPr>
          <w:rFonts w:ascii="Bookman Old Style"/>
          <w:b w:val="0"/>
          <w:i/>
          <w:spacing w:val="-2"/>
          <w:sz w:val="20"/>
        </w:rPr>
        <w:t>Journal</w:t>
      </w:r>
      <w:r>
        <w:rPr>
          <w:rFonts w:ascii="Bookman Old Style"/>
          <w:b w:val="0"/>
          <w:i/>
          <w:spacing w:val="-4"/>
          <w:sz w:val="20"/>
        </w:rPr>
        <w:t> </w:t>
      </w:r>
      <w:r>
        <w:rPr>
          <w:rFonts w:ascii="Bookman Old Style"/>
          <w:b w:val="0"/>
          <w:i/>
          <w:spacing w:val="-2"/>
          <w:sz w:val="20"/>
        </w:rPr>
        <w:t>of</w:t>
      </w:r>
      <w:r>
        <w:rPr>
          <w:rFonts w:ascii="Bookman Old Style"/>
          <w:b w:val="0"/>
          <w:i/>
          <w:spacing w:val="-4"/>
          <w:sz w:val="20"/>
        </w:rPr>
        <w:t> </w:t>
      </w:r>
      <w:r>
        <w:rPr>
          <w:rFonts w:ascii="Bookman Old Style"/>
          <w:b w:val="0"/>
          <w:i/>
          <w:spacing w:val="-2"/>
          <w:sz w:val="20"/>
        </w:rPr>
        <w:t>Arabian</w:t>
      </w:r>
      <w:r>
        <w:rPr>
          <w:rFonts w:ascii="Bookman Old Style"/>
          <w:b w:val="0"/>
          <w:i/>
          <w:spacing w:val="-4"/>
          <w:sz w:val="20"/>
        </w:rPr>
        <w:t> </w:t>
      </w:r>
      <w:r>
        <w:rPr>
          <w:rFonts w:ascii="Bookman Old Style"/>
          <w:b w:val="0"/>
          <w:i/>
          <w:spacing w:val="-2"/>
          <w:sz w:val="20"/>
        </w:rPr>
        <w:t>Studies</w:t>
      </w:r>
      <w:r>
        <w:rPr>
          <w:spacing w:val="-2"/>
          <w:sz w:val="20"/>
        </w:rPr>
        <w:t>, 8(sup1), pp.87-109.</w:t>
      </w:r>
    </w:p>
    <w:p>
      <w:pPr>
        <w:pStyle w:val="ListParagraph"/>
        <w:numPr>
          <w:ilvl w:val="0"/>
          <w:numId w:val="2"/>
        </w:numPr>
        <w:tabs>
          <w:tab w:pos="780" w:val="left" w:leader="none"/>
        </w:tabs>
        <w:spacing w:line="309" w:lineRule="auto" w:before="0" w:after="0"/>
        <w:ind w:left="137" w:right="1794" w:firstLine="298"/>
        <w:jc w:val="left"/>
        <w:rPr>
          <w:sz w:val="20"/>
        </w:rPr>
      </w:pPr>
      <w:r>
        <w:rPr>
          <w:spacing w:val="-2"/>
          <w:sz w:val="20"/>
        </w:rPr>
        <w:t>Fearon, J. D. (2005).</w:t>
      </w:r>
      <w:r>
        <w:rPr>
          <w:spacing w:val="16"/>
          <w:sz w:val="20"/>
        </w:rPr>
        <w:t> </w:t>
      </w:r>
      <w:r>
        <w:rPr>
          <w:spacing w:val="-2"/>
          <w:sz w:val="20"/>
        </w:rPr>
        <w:t>Primary commodity exports and civil war.</w:t>
      </w:r>
      <w:r>
        <w:rPr>
          <w:spacing w:val="16"/>
          <w:sz w:val="20"/>
        </w:rPr>
        <w:t> </w:t>
      </w:r>
      <w:r>
        <w:rPr>
          <w:rFonts w:ascii="Bookman Old Style"/>
          <w:b w:val="0"/>
          <w:i/>
          <w:spacing w:val="-2"/>
          <w:sz w:val="20"/>
        </w:rPr>
        <w:t>Journal</w:t>
      </w:r>
      <w:r>
        <w:rPr>
          <w:rFonts w:ascii="Bookman Old Style"/>
          <w:b w:val="0"/>
          <w:i/>
          <w:spacing w:val="-9"/>
          <w:sz w:val="20"/>
        </w:rPr>
        <w:t> </w:t>
      </w:r>
      <w:r>
        <w:rPr>
          <w:rFonts w:ascii="Bookman Old Style"/>
          <w:b w:val="0"/>
          <w:i/>
          <w:spacing w:val="-2"/>
          <w:sz w:val="20"/>
        </w:rPr>
        <w:t>of</w:t>
      </w:r>
      <w:r>
        <w:rPr>
          <w:rFonts w:ascii="Bookman Old Style"/>
          <w:b w:val="0"/>
          <w:i/>
          <w:spacing w:val="-9"/>
          <w:sz w:val="20"/>
        </w:rPr>
        <w:t> </w:t>
      </w:r>
      <w:r>
        <w:rPr>
          <w:rFonts w:ascii="Bookman Old Style"/>
          <w:b w:val="0"/>
          <w:i/>
          <w:spacing w:val="-2"/>
          <w:sz w:val="20"/>
        </w:rPr>
        <w:t>conflict</w:t>
      </w:r>
      <w:r>
        <w:rPr>
          <w:rFonts w:ascii="Bookman Old Style"/>
          <w:b w:val="0"/>
          <w:i/>
          <w:spacing w:val="-9"/>
          <w:sz w:val="20"/>
        </w:rPr>
        <w:t> </w:t>
      </w:r>
      <w:r>
        <w:rPr>
          <w:rFonts w:ascii="Bookman Old Style"/>
          <w:b w:val="0"/>
          <w:i/>
          <w:spacing w:val="-2"/>
          <w:sz w:val="20"/>
        </w:rPr>
        <w:t>Resolution</w:t>
      </w:r>
      <w:r>
        <w:rPr>
          <w:spacing w:val="-2"/>
          <w:sz w:val="20"/>
        </w:rPr>
        <w:t>, </w:t>
      </w:r>
      <w:r>
        <w:rPr>
          <w:sz w:val="20"/>
        </w:rPr>
        <w:t>49(4), 483-507.</w:t>
      </w:r>
    </w:p>
    <w:p>
      <w:pPr>
        <w:pStyle w:val="ListParagraph"/>
        <w:numPr>
          <w:ilvl w:val="0"/>
          <w:numId w:val="2"/>
        </w:numPr>
        <w:tabs>
          <w:tab w:pos="829" w:val="left" w:leader="none"/>
        </w:tabs>
        <w:spacing w:line="304" w:lineRule="auto" w:before="0" w:after="0"/>
        <w:ind w:left="137" w:right="1794" w:firstLine="298"/>
        <w:jc w:val="left"/>
        <w:rPr>
          <w:sz w:val="20"/>
        </w:rPr>
      </w:pPr>
      <w:r>
        <w:rPr>
          <w:sz w:val="20"/>
        </w:rPr>
        <w:t>Fjelde,</w:t>
      </w:r>
      <w:r>
        <w:rPr>
          <w:spacing w:val="15"/>
          <w:sz w:val="20"/>
        </w:rPr>
        <w:t> </w:t>
      </w:r>
      <w:r>
        <w:rPr>
          <w:sz w:val="20"/>
        </w:rPr>
        <w:t>H.,</w:t>
      </w:r>
      <w:r>
        <w:rPr>
          <w:spacing w:val="15"/>
          <w:sz w:val="20"/>
        </w:rPr>
        <w:t> </w:t>
      </w:r>
      <w:r>
        <w:rPr>
          <w:sz w:val="20"/>
        </w:rPr>
        <w:t>2009.</w:t>
      </w:r>
      <w:r>
        <w:rPr>
          <w:spacing w:val="53"/>
          <w:sz w:val="20"/>
        </w:rPr>
        <w:t> </w:t>
      </w:r>
      <w:r>
        <w:rPr>
          <w:sz w:val="20"/>
        </w:rPr>
        <w:t>Buying</w:t>
      </w:r>
      <w:r>
        <w:rPr>
          <w:spacing w:val="12"/>
          <w:sz w:val="20"/>
        </w:rPr>
        <w:t> </w:t>
      </w:r>
      <w:r>
        <w:rPr>
          <w:sz w:val="20"/>
        </w:rPr>
        <w:t>peace?</w:t>
      </w:r>
      <w:r>
        <w:rPr>
          <w:spacing w:val="53"/>
          <w:sz w:val="20"/>
        </w:rPr>
        <w:t> </w:t>
      </w:r>
      <w:r>
        <w:rPr>
          <w:sz w:val="20"/>
        </w:rPr>
        <w:t>Oil</w:t>
      </w:r>
      <w:r>
        <w:rPr>
          <w:spacing w:val="12"/>
          <w:sz w:val="20"/>
        </w:rPr>
        <w:t> </w:t>
      </w:r>
      <w:r>
        <w:rPr>
          <w:sz w:val="20"/>
        </w:rPr>
        <w:t>wealth,</w:t>
      </w:r>
      <w:r>
        <w:rPr>
          <w:spacing w:val="15"/>
          <w:sz w:val="20"/>
        </w:rPr>
        <w:t> </w:t>
      </w:r>
      <w:r>
        <w:rPr>
          <w:sz w:val="20"/>
        </w:rPr>
        <w:t>corruption</w:t>
      </w:r>
      <w:r>
        <w:rPr>
          <w:spacing w:val="12"/>
          <w:sz w:val="20"/>
        </w:rPr>
        <w:t> </w:t>
      </w:r>
      <w:r>
        <w:rPr>
          <w:sz w:val="20"/>
        </w:rPr>
        <w:t>and</w:t>
      </w:r>
      <w:r>
        <w:rPr>
          <w:spacing w:val="12"/>
          <w:sz w:val="20"/>
        </w:rPr>
        <w:t> </w:t>
      </w:r>
      <w:r>
        <w:rPr>
          <w:sz w:val="20"/>
        </w:rPr>
        <w:t>civil</w:t>
      </w:r>
      <w:r>
        <w:rPr>
          <w:spacing w:val="12"/>
          <w:sz w:val="20"/>
        </w:rPr>
        <w:t> </w:t>
      </w:r>
      <w:r>
        <w:rPr>
          <w:sz w:val="20"/>
        </w:rPr>
        <w:t>war,</w:t>
      </w:r>
      <w:r>
        <w:rPr>
          <w:spacing w:val="15"/>
          <w:sz w:val="20"/>
        </w:rPr>
        <w:t> </w:t>
      </w:r>
      <w:r>
        <w:rPr>
          <w:sz w:val="20"/>
        </w:rPr>
        <w:t>1985—99.</w:t>
      </w:r>
      <w:r>
        <w:rPr>
          <w:spacing w:val="55"/>
          <w:sz w:val="20"/>
        </w:rPr>
        <w:t> </w:t>
      </w:r>
      <w:r>
        <w:rPr>
          <w:rFonts w:ascii="Bookman Old Style" w:hAnsi="Bookman Old Style"/>
          <w:b w:val="0"/>
          <w:i/>
          <w:sz w:val="20"/>
        </w:rPr>
        <w:t>Journal of</w:t>
      </w:r>
      <w:r>
        <w:rPr>
          <w:rFonts w:ascii="Bookman Old Style" w:hAnsi="Bookman Old Style"/>
          <w:b w:val="0"/>
          <w:i/>
          <w:sz w:val="20"/>
        </w:rPr>
        <w:t> </w:t>
      </w:r>
      <w:r>
        <w:rPr>
          <w:rFonts w:ascii="Bookman Old Style" w:hAnsi="Bookman Old Style"/>
          <w:b w:val="0"/>
          <w:i/>
          <w:spacing w:val="-2"/>
          <w:sz w:val="20"/>
        </w:rPr>
        <w:t>peace</w:t>
      </w:r>
      <w:r>
        <w:rPr>
          <w:rFonts w:ascii="Bookman Old Style" w:hAnsi="Bookman Old Style"/>
          <w:b w:val="0"/>
          <w:i/>
          <w:spacing w:val="-13"/>
          <w:sz w:val="20"/>
        </w:rPr>
        <w:t> </w:t>
      </w:r>
      <w:r>
        <w:rPr>
          <w:rFonts w:ascii="Bookman Old Style" w:hAnsi="Bookman Old Style"/>
          <w:b w:val="0"/>
          <w:i/>
          <w:spacing w:val="-2"/>
          <w:sz w:val="20"/>
        </w:rPr>
        <w:t>research</w:t>
      </w:r>
      <w:r>
        <w:rPr>
          <w:spacing w:val="-2"/>
          <w:sz w:val="20"/>
        </w:rPr>
        <w:t>,</w:t>
      </w:r>
      <w:r>
        <w:rPr>
          <w:spacing w:val="-6"/>
          <w:sz w:val="20"/>
        </w:rPr>
        <w:t> </w:t>
      </w:r>
      <w:r>
        <w:rPr>
          <w:spacing w:val="-2"/>
          <w:sz w:val="20"/>
        </w:rPr>
        <w:t>46(2),</w:t>
      </w:r>
      <w:r>
        <w:rPr>
          <w:spacing w:val="-5"/>
          <w:sz w:val="20"/>
        </w:rPr>
        <w:t> </w:t>
      </w:r>
      <w:r>
        <w:rPr>
          <w:spacing w:val="-2"/>
          <w:sz w:val="20"/>
        </w:rPr>
        <w:t>pp.199-218.</w:t>
      </w:r>
    </w:p>
    <w:p>
      <w:pPr>
        <w:pStyle w:val="ListParagraph"/>
        <w:numPr>
          <w:ilvl w:val="0"/>
          <w:numId w:val="2"/>
        </w:numPr>
        <w:tabs>
          <w:tab w:pos="777" w:val="left" w:leader="none"/>
        </w:tabs>
        <w:spacing w:line="316" w:lineRule="auto" w:before="5" w:after="0"/>
        <w:ind w:left="137" w:right="1794" w:firstLine="298"/>
        <w:jc w:val="left"/>
        <w:rPr>
          <w:sz w:val="20"/>
        </w:rPr>
      </w:pPr>
      <w:r>
        <w:rPr>
          <w:sz w:val="20"/>
        </w:rPr>
        <w:t>Fjelde,</w:t>
      </w:r>
      <w:r>
        <w:rPr>
          <w:spacing w:val="-8"/>
          <w:sz w:val="20"/>
        </w:rPr>
        <w:t> </w:t>
      </w:r>
      <w:r>
        <w:rPr>
          <w:sz w:val="20"/>
        </w:rPr>
        <w:t>H.</w:t>
      </w:r>
      <w:r>
        <w:rPr>
          <w:spacing w:val="-9"/>
          <w:sz w:val="20"/>
        </w:rPr>
        <w:t> </w:t>
      </w:r>
      <w:r>
        <w:rPr>
          <w:sz w:val="20"/>
        </w:rPr>
        <w:t>and</w:t>
      </w:r>
      <w:r>
        <w:rPr>
          <w:spacing w:val="-9"/>
          <w:sz w:val="20"/>
        </w:rPr>
        <w:t> </w:t>
      </w:r>
      <w:r>
        <w:rPr>
          <w:sz w:val="20"/>
        </w:rPr>
        <w:t>De</w:t>
      </w:r>
      <w:r>
        <w:rPr>
          <w:spacing w:val="-9"/>
          <w:sz w:val="20"/>
        </w:rPr>
        <w:t> </w:t>
      </w:r>
      <w:r>
        <w:rPr>
          <w:sz w:val="20"/>
        </w:rPr>
        <w:t>Soysa,</w:t>
      </w:r>
      <w:r>
        <w:rPr>
          <w:spacing w:val="-8"/>
          <w:sz w:val="20"/>
        </w:rPr>
        <w:t> </w:t>
      </w:r>
      <w:r>
        <w:rPr>
          <w:sz w:val="20"/>
        </w:rPr>
        <w:t>I.,</w:t>
      </w:r>
      <w:r>
        <w:rPr>
          <w:spacing w:val="-8"/>
          <w:sz w:val="20"/>
        </w:rPr>
        <w:t> </w:t>
      </w:r>
      <w:r>
        <w:rPr>
          <w:sz w:val="20"/>
        </w:rPr>
        <w:t>2009.</w:t>
      </w:r>
      <w:r>
        <w:rPr>
          <w:spacing w:val="10"/>
          <w:sz w:val="20"/>
        </w:rPr>
        <w:t> </w:t>
      </w:r>
      <w:r>
        <w:rPr>
          <w:sz w:val="20"/>
        </w:rPr>
        <w:t>Coercion,</w:t>
      </w:r>
      <w:r>
        <w:rPr>
          <w:spacing w:val="-8"/>
          <w:sz w:val="20"/>
        </w:rPr>
        <w:t> </w:t>
      </w:r>
      <w:r>
        <w:rPr>
          <w:sz w:val="20"/>
        </w:rPr>
        <w:t>co-optation,</w:t>
      </w:r>
      <w:r>
        <w:rPr>
          <w:spacing w:val="-8"/>
          <w:sz w:val="20"/>
        </w:rPr>
        <w:t> </w:t>
      </w:r>
      <w:r>
        <w:rPr>
          <w:sz w:val="20"/>
        </w:rPr>
        <w:t>or</w:t>
      </w:r>
      <w:r>
        <w:rPr>
          <w:spacing w:val="-9"/>
          <w:sz w:val="20"/>
        </w:rPr>
        <w:t> </w:t>
      </w:r>
      <w:r>
        <w:rPr>
          <w:sz w:val="20"/>
        </w:rPr>
        <w:t>cooperation?</w:t>
      </w:r>
      <w:r>
        <w:rPr>
          <w:spacing w:val="10"/>
          <w:sz w:val="20"/>
        </w:rPr>
        <w:t> </w:t>
      </w:r>
      <w:r>
        <w:rPr>
          <w:sz w:val="20"/>
        </w:rPr>
        <w:t>State</w:t>
      </w:r>
      <w:r>
        <w:rPr>
          <w:spacing w:val="-9"/>
          <w:sz w:val="20"/>
        </w:rPr>
        <w:t> </w:t>
      </w:r>
      <w:r>
        <w:rPr>
          <w:sz w:val="20"/>
        </w:rPr>
        <w:t>capacity</w:t>
      </w:r>
      <w:r>
        <w:rPr>
          <w:spacing w:val="-9"/>
          <w:sz w:val="20"/>
        </w:rPr>
        <w:t> </w:t>
      </w:r>
      <w:r>
        <w:rPr>
          <w:sz w:val="20"/>
        </w:rPr>
        <w:t>and</w:t>
      </w:r>
      <w:r>
        <w:rPr>
          <w:spacing w:val="-9"/>
          <w:sz w:val="20"/>
        </w:rPr>
        <w:t> </w:t>
      </w:r>
      <w:r>
        <w:rPr>
          <w:sz w:val="20"/>
        </w:rPr>
        <w:t>the risk of civil war, 1961—2004.</w:t>
      </w:r>
      <w:r>
        <w:rPr>
          <w:spacing w:val="27"/>
          <w:sz w:val="20"/>
        </w:rPr>
        <w:t> </w:t>
      </w:r>
      <w:r>
        <w:rPr>
          <w:sz w:val="20"/>
        </w:rPr>
        <w:t>Conflict management and peace science, 26(1), pp.5-25.</w:t>
      </w:r>
    </w:p>
    <w:p>
      <w:pPr>
        <w:pStyle w:val="ListParagraph"/>
        <w:numPr>
          <w:ilvl w:val="0"/>
          <w:numId w:val="2"/>
        </w:numPr>
        <w:tabs>
          <w:tab w:pos="774" w:val="left" w:leader="none"/>
        </w:tabs>
        <w:spacing w:line="316" w:lineRule="auto" w:before="0" w:after="0"/>
        <w:ind w:left="137" w:right="1795" w:firstLine="298"/>
        <w:jc w:val="left"/>
        <w:rPr>
          <w:sz w:val="20"/>
        </w:rPr>
      </w:pPr>
      <w:r>
        <w:rPr>
          <w:spacing w:val="-2"/>
          <w:sz w:val="20"/>
        </w:rPr>
        <w:t>Frank,</w:t>
      </w:r>
      <w:r>
        <w:rPr>
          <w:spacing w:val="-11"/>
          <w:sz w:val="20"/>
        </w:rPr>
        <w:t> </w:t>
      </w:r>
      <w:r>
        <w:rPr>
          <w:spacing w:val="-2"/>
          <w:sz w:val="20"/>
        </w:rPr>
        <w:t>Claudia,</w:t>
      </w:r>
      <w:r>
        <w:rPr>
          <w:spacing w:val="-10"/>
          <w:sz w:val="20"/>
        </w:rPr>
        <w:t> </w:t>
      </w:r>
      <w:r>
        <w:rPr>
          <w:spacing w:val="-2"/>
          <w:sz w:val="20"/>
        </w:rPr>
        <w:t>and</w:t>
      </w:r>
      <w:r>
        <w:rPr>
          <w:spacing w:val="-10"/>
          <w:sz w:val="20"/>
        </w:rPr>
        <w:t> </w:t>
      </w:r>
      <w:r>
        <w:rPr>
          <w:spacing w:val="-2"/>
          <w:sz w:val="20"/>
        </w:rPr>
        <w:t>Lena</w:t>
      </w:r>
      <w:r>
        <w:rPr>
          <w:spacing w:val="-10"/>
          <w:sz w:val="20"/>
        </w:rPr>
        <w:t> </w:t>
      </w:r>
      <w:r>
        <w:rPr>
          <w:spacing w:val="-2"/>
          <w:sz w:val="20"/>
        </w:rPr>
        <w:t>Guesnet.</w:t>
      </w:r>
      <w:r>
        <w:rPr>
          <w:spacing w:val="5"/>
          <w:sz w:val="20"/>
        </w:rPr>
        <w:t> </w:t>
      </w:r>
      <w:r>
        <w:rPr>
          <w:spacing w:val="-2"/>
          <w:sz w:val="20"/>
        </w:rPr>
        <w:t>2009.</w:t>
      </w:r>
      <w:r>
        <w:rPr>
          <w:spacing w:val="7"/>
          <w:sz w:val="20"/>
        </w:rPr>
        <w:t> </w:t>
      </w:r>
      <w:r>
        <w:rPr>
          <w:spacing w:val="-2"/>
          <w:sz w:val="20"/>
        </w:rPr>
        <w:t>””We</w:t>
      </w:r>
      <w:r>
        <w:rPr>
          <w:spacing w:val="-10"/>
          <w:sz w:val="20"/>
        </w:rPr>
        <w:t> </w:t>
      </w:r>
      <w:r>
        <w:rPr>
          <w:spacing w:val="-2"/>
          <w:sz w:val="20"/>
        </w:rPr>
        <w:t>were</w:t>
      </w:r>
      <w:r>
        <w:rPr>
          <w:spacing w:val="-10"/>
          <w:sz w:val="20"/>
        </w:rPr>
        <w:t> </w:t>
      </w:r>
      <w:r>
        <w:rPr>
          <w:spacing w:val="-2"/>
          <w:sz w:val="20"/>
        </w:rPr>
        <w:t>promised</w:t>
      </w:r>
      <w:r>
        <w:rPr>
          <w:spacing w:val="-10"/>
          <w:sz w:val="20"/>
        </w:rPr>
        <w:t> </w:t>
      </w:r>
      <w:r>
        <w:rPr>
          <w:spacing w:val="-2"/>
          <w:sz w:val="20"/>
        </w:rPr>
        <w:t>development</w:t>
      </w:r>
      <w:r>
        <w:rPr>
          <w:spacing w:val="-10"/>
          <w:sz w:val="20"/>
        </w:rPr>
        <w:t> </w:t>
      </w:r>
      <w:r>
        <w:rPr>
          <w:spacing w:val="-2"/>
          <w:sz w:val="20"/>
        </w:rPr>
        <w:t>and</w:t>
      </w:r>
      <w:r>
        <w:rPr>
          <w:spacing w:val="-10"/>
          <w:sz w:val="20"/>
        </w:rPr>
        <w:t> </w:t>
      </w:r>
      <w:r>
        <w:rPr>
          <w:spacing w:val="-2"/>
          <w:sz w:val="20"/>
        </w:rPr>
        <w:t>all</w:t>
      </w:r>
      <w:r>
        <w:rPr>
          <w:spacing w:val="-10"/>
          <w:sz w:val="20"/>
        </w:rPr>
        <w:t> </w:t>
      </w:r>
      <w:r>
        <w:rPr>
          <w:spacing w:val="-2"/>
          <w:sz w:val="20"/>
        </w:rPr>
        <w:t>we</w:t>
      </w:r>
      <w:r>
        <w:rPr>
          <w:spacing w:val="-10"/>
          <w:sz w:val="20"/>
        </w:rPr>
        <w:t> </w:t>
      </w:r>
      <w:r>
        <w:rPr>
          <w:spacing w:val="-2"/>
          <w:sz w:val="20"/>
        </w:rPr>
        <w:t>got</w:t>
      </w:r>
      <w:r>
        <w:rPr>
          <w:spacing w:val="-10"/>
          <w:sz w:val="20"/>
        </w:rPr>
        <w:t> </w:t>
      </w:r>
      <w:r>
        <w:rPr>
          <w:spacing w:val="-2"/>
          <w:sz w:val="20"/>
        </w:rPr>
        <w:t>is</w:t>
      </w:r>
      <w:r>
        <w:rPr>
          <w:spacing w:val="-10"/>
          <w:sz w:val="20"/>
        </w:rPr>
        <w:t> </w:t>
      </w:r>
      <w:r>
        <w:rPr>
          <w:spacing w:val="-2"/>
          <w:sz w:val="20"/>
        </w:rPr>
        <w:t>mis- </w:t>
      </w:r>
      <w:r>
        <w:rPr>
          <w:sz w:val="20"/>
        </w:rPr>
        <w:t>ery”</w:t>
      </w:r>
      <w:r>
        <w:rPr>
          <w:spacing w:val="-12"/>
          <w:sz w:val="20"/>
        </w:rPr>
        <w:t> </w:t>
      </w:r>
      <w:r>
        <w:rPr>
          <w:sz w:val="20"/>
        </w:rPr>
        <w:t>-</w:t>
      </w:r>
      <w:r>
        <w:rPr>
          <w:spacing w:val="-12"/>
          <w:sz w:val="20"/>
        </w:rPr>
        <w:t> </w:t>
      </w:r>
      <w:r>
        <w:rPr>
          <w:sz w:val="20"/>
        </w:rPr>
        <w:t>The</w:t>
      </w:r>
      <w:r>
        <w:rPr>
          <w:spacing w:val="-12"/>
          <w:sz w:val="20"/>
        </w:rPr>
        <w:t> </w:t>
      </w:r>
      <w:r>
        <w:rPr>
          <w:sz w:val="20"/>
        </w:rPr>
        <w:t>Influence</w:t>
      </w:r>
      <w:r>
        <w:rPr>
          <w:spacing w:val="-12"/>
          <w:sz w:val="20"/>
        </w:rPr>
        <w:t> </w:t>
      </w:r>
      <w:r>
        <w:rPr>
          <w:sz w:val="20"/>
        </w:rPr>
        <w:t>of</w:t>
      </w:r>
      <w:r>
        <w:rPr>
          <w:spacing w:val="-12"/>
          <w:sz w:val="20"/>
        </w:rPr>
        <w:t> </w:t>
      </w:r>
      <w:r>
        <w:rPr>
          <w:sz w:val="20"/>
        </w:rPr>
        <w:t>Petroleum</w:t>
      </w:r>
      <w:r>
        <w:rPr>
          <w:spacing w:val="-12"/>
          <w:sz w:val="20"/>
        </w:rPr>
        <w:t> </w:t>
      </w:r>
      <w:r>
        <w:rPr>
          <w:sz w:val="20"/>
        </w:rPr>
        <w:t>on</w:t>
      </w:r>
      <w:r>
        <w:rPr>
          <w:spacing w:val="-12"/>
          <w:sz w:val="20"/>
        </w:rPr>
        <w:t> </w:t>
      </w:r>
      <w:r>
        <w:rPr>
          <w:sz w:val="20"/>
        </w:rPr>
        <w:t>Conflict</w:t>
      </w:r>
      <w:r>
        <w:rPr>
          <w:spacing w:val="-12"/>
          <w:sz w:val="20"/>
        </w:rPr>
        <w:t> </w:t>
      </w:r>
      <w:r>
        <w:rPr>
          <w:sz w:val="20"/>
        </w:rPr>
        <w:t>Dynamics</w:t>
      </w:r>
      <w:r>
        <w:rPr>
          <w:spacing w:val="-12"/>
          <w:sz w:val="20"/>
        </w:rPr>
        <w:t> </w:t>
      </w:r>
      <w:r>
        <w:rPr>
          <w:sz w:val="20"/>
        </w:rPr>
        <w:t>in</w:t>
      </w:r>
      <w:r>
        <w:rPr>
          <w:spacing w:val="-12"/>
          <w:sz w:val="20"/>
        </w:rPr>
        <w:t> </w:t>
      </w:r>
      <w:r>
        <w:rPr>
          <w:sz w:val="20"/>
        </w:rPr>
        <w:t>Chad.”</w:t>
      </w:r>
      <w:r>
        <w:rPr>
          <w:spacing w:val="-12"/>
          <w:sz w:val="20"/>
        </w:rPr>
        <w:t> </w:t>
      </w:r>
      <w:r>
        <w:rPr>
          <w:sz w:val="20"/>
        </w:rPr>
        <w:t>Brief</w:t>
      </w:r>
      <w:r>
        <w:rPr>
          <w:spacing w:val="-12"/>
          <w:sz w:val="20"/>
        </w:rPr>
        <w:t> </w:t>
      </w:r>
      <w:r>
        <w:rPr>
          <w:sz w:val="20"/>
        </w:rPr>
        <w:t>41.</w:t>
      </w:r>
      <w:r>
        <w:rPr>
          <w:spacing w:val="10"/>
          <w:sz w:val="20"/>
        </w:rPr>
        <w:t> </w:t>
      </w:r>
      <w:r>
        <w:rPr>
          <w:sz w:val="20"/>
        </w:rPr>
        <w:t>November.</w:t>
      </w:r>
      <w:r>
        <w:rPr>
          <w:spacing w:val="10"/>
          <w:sz w:val="20"/>
        </w:rPr>
        <w:t> </w:t>
      </w:r>
      <w:r>
        <w:rPr>
          <w:sz w:val="20"/>
        </w:rPr>
        <w:t>Bonn,</w:t>
      </w:r>
      <w:r>
        <w:rPr>
          <w:spacing w:val="-10"/>
          <w:sz w:val="20"/>
        </w:rPr>
        <w:t> </w:t>
      </w:r>
      <w:r>
        <w:rPr>
          <w:sz w:val="20"/>
        </w:rPr>
        <w:t>Germany:</w:t>
      </w:r>
    </w:p>
    <w:p>
      <w:pPr>
        <w:spacing w:line="228" w:lineRule="exact" w:before="0"/>
        <w:ind w:left="137" w:right="0" w:firstLine="0"/>
        <w:jc w:val="left"/>
        <w:rPr>
          <w:rFonts w:ascii="Bookman Old Style"/>
          <w:b w:val="0"/>
          <w:i/>
          <w:sz w:val="20"/>
        </w:rPr>
      </w:pPr>
      <w:r>
        <w:rPr>
          <w:spacing w:val="-4"/>
          <w:sz w:val="20"/>
        </w:rPr>
        <w:t>Bonn</w:t>
      </w:r>
      <w:r>
        <w:rPr>
          <w:spacing w:val="8"/>
          <w:sz w:val="20"/>
        </w:rPr>
        <w:t> </w:t>
      </w:r>
      <w:r>
        <w:rPr>
          <w:spacing w:val="-4"/>
          <w:sz w:val="20"/>
        </w:rPr>
        <w:t>International</w:t>
      </w:r>
      <w:r>
        <w:rPr>
          <w:spacing w:val="8"/>
          <w:sz w:val="20"/>
        </w:rPr>
        <w:t> </w:t>
      </w:r>
      <w:r>
        <w:rPr>
          <w:spacing w:val="-4"/>
          <w:sz w:val="20"/>
        </w:rPr>
        <w:t>Center</w:t>
      </w:r>
      <w:r>
        <w:rPr>
          <w:spacing w:val="8"/>
          <w:sz w:val="20"/>
        </w:rPr>
        <w:t> </w:t>
      </w:r>
      <w:r>
        <w:rPr>
          <w:spacing w:val="-4"/>
          <w:sz w:val="20"/>
        </w:rPr>
        <w:t>for</w:t>
      </w:r>
      <w:r>
        <w:rPr>
          <w:spacing w:val="8"/>
          <w:sz w:val="20"/>
        </w:rPr>
        <w:t> </w:t>
      </w:r>
      <w:r>
        <w:rPr>
          <w:spacing w:val="-4"/>
          <w:sz w:val="20"/>
        </w:rPr>
        <w:t>Conversion</w:t>
      </w:r>
      <w:r>
        <w:rPr>
          <w:spacing w:val="8"/>
          <w:sz w:val="20"/>
        </w:rPr>
        <w:t> </w:t>
      </w:r>
      <w:r>
        <w:rPr>
          <w:spacing w:val="-4"/>
          <w:sz w:val="20"/>
        </w:rPr>
        <w:t>(BICC).</w:t>
      </w:r>
      <w:r>
        <w:rPr>
          <w:spacing w:val="9"/>
          <w:sz w:val="20"/>
        </w:rPr>
        <w:t> </w:t>
      </w:r>
      <w:r>
        <w:rPr>
          <w:spacing w:val="-4"/>
          <w:sz w:val="20"/>
        </w:rPr>
        <w:t>h</w:t>
      </w:r>
      <w:hyperlink r:id="rId16">
        <w:r>
          <w:rPr>
            <w:spacing w:val="-4"/>
            <w:sz w:val="20"/>
          </w:rPr>
          <w:t>ttps://www.bicc.de/uploads/tx</w:t>
        </w:r>
      </w:hyperlink>
      <w:r>
        <w:rPr>
          <w:rFonts w:ascii="Trebuchet MS"/>
          <w:i/>
          <w:spacing w:val="-4"/>
          <w:sz w:val="20"/>
          <w:vertAlign w:val="subscript"/>
        </w:rPr>
        <w:t>b</w:t>
      </w:r>
      <w:hyperlink r:id="rId16">
        <w:r>
          <w:rPr>
            <w:rFonts w:ascii="Bookman Old Style"/>
            <w:b w:val="0"/>
            <w:i/>
            <w:spacing w:val="-4"/>
            <w:sz w:val="20"/>
            <w:vertAlign w:val="baseline"/>
          </w:rPr>
          <w:t>icctool</w:t>
        </w:r>
      </w:hyperlink>
      <w:r>
        <w:rPr>
          <w:rFonts w:ascii="Bookman Old Style"/>
          <w:b w:val="0"/>
          <w:i/>
          <w:spacing w:val="-4"/>
          <w:sz w:val="20"/>
          <w:vertAlign w:val="baseline"/>
        </w:rPr>
        <w:t>s/br</w:t>
      </w:r>
      <w:hyperlink r:id="rId16">
        <w:r>
          <w:rPr>
            <w:rFonts w:ascii="Bookman Old Style"/>
            <w:b w:val="0"/>
            <w:i/>
            <w:spacing w:val="-4"/>
            <w:sz w:val="20"/>
            <w:vertAlign w:val="baseline"/>
          </w:rPr>
          <w:t>ief</w:t>
        </w:r>
        <w:r>
          <w:rPr>
            <w:rFonts w:ascii="Bookman Old Style"/>
            <w:b w:val="0"/>
            <w:i/>
            <w:spacing w:val="-34"/>
            <w:sz w:val="20"/>
            <w:vertAlign w:val="baseline"/>
          </w:rPr>
          <w:t> </w:t>
        </w:r>
      </w:hyperlink>
      <w:r>
        <w:rPr>
          <w:spacing w:val="-4"/>
          <w:sz w:val="20"/>
          <w:vertAlign w:val="baseline"/>
        </w:rPr>
        <w:t>41</w:t>
      </w:r>
      <w:r>
        <w:rPr>
          <w:rFonts w:ascii="Bookman Old Style"/>
          <w:b w:val="0"/>
          <w:i/>
          <w:spacing w:val="-4"/>
          <w:sz w:val="20"/>
          <w:vertAlign w:val="baseline"/>
        </w:rPr>
        <w:t>.pdf</w:t>
      </w:r>
      <w:r>
        <w:rPr>
          <w:rFonts w:ascii="Bookman Old Style"/>
          <w:b w:val="0"/>
          <w:i/>
          <w:spacing w:val="-33"/>
          <w:sz w:val="20"/>
          <w:vertAlign w:val="baseline"/>
        </w:rPr>
        <w:t> </w:t>
      </w:r>
      <w:r>
        <w:rPr>
          <w:spacing w:val="-4"/>
          <w:sz w:val="20"/>
          <w:vertAlign w:val="baseline"/>
        </w:rPr>
        <w:t>(</w:t>
      </w:r>
      <w:r>
        <w:rPr>
          <w:rFonts w:ascii="Bookman Old Style"/>
          <w:b w:val="0"/>
          <w:i/>
          <w:spacing w:val="-4"/>
          <w:sz w:val="20"/>
          <w:vertAlign w:val="baseline"/>
        </w:rPr>
        <w:t>February</w:t>
      </w:r>
      <w:r>
        <w:rPr>
          <w:spacing w:val="-4"/>
          <w:sz w:val="20"/>
          <w:vertAlign w:val="baseline"/>
        </w:rPr>
        <w:t>3</w:t>
      </w:r>
      <w:r>
        <w:rPr>
          <w:rFonts w:ascii="Bookman Old Style"/>
          <w:b w:val="0"/>
          <w:i/>
          <w:spacing w:val="-4"/>
          <w:sz w:val="20"/>
          <w:vertAlign w:val="baseline"/>
        </w:rPr>
        <w:t>,</w:t>
      </w:r>
      <w:r>
        <w:rPr>
          <w:rFonts w:ascii="Bookman Old Style"/>
          <w:b w:val="0"/>
          <w:i/>
          <w:spacing w:val="-18"/>
          <w:sz w:val="20"/>
          <w:vertAlign w:val="baseline"/>
        </w:rPr>
        <w:t> </w:t>
      </w:r>
      <w:r>
        <w:rPr>
          <w:spacing w:val="-4"/>
          <w:sz w:val="20"/>
          <w:vertAlign w:val="baseline"/>
        </w:rPr>
        <w:t>2022)</w:t>
      </w:r>
      <w:r>
        <w:rPr>
          <w:rFonts w:ascii="Bookman Old Style"/>
          <w:b w:val="0"/>
          <w:i/>
          <w:spacing w:val="-4"/>
          <w:sz w:val="20"/>
          <w:vertAlign w:val="baseline"/>
        </w:rPr>
        <w:t>.</w:t>
      </w:r>
    </w:p>
    <w:p>
      <w:pPr>
        <w:pStyle w:val="ListParagraph"/>
        <w:numPr>
          <w:ilvl w:val="0"/>
          <w:numId w:val="2"/>
        </w:numPr>
        <w:tabs>
          <w:tab w:pos="780" w:val="left" w:leader="none"/>
        </w:tabs>
        <w:spacing w:line="240" w:lineRule="auto" w:before="62" w:after="0"/>
        <w:ind w:left="779" w:right="0" w:hanging="344"/>
        <w:jc w:val="left"/>
        <w:rPr>
          <w:sz w:val="20"/>
        </w:rPr>
      </w:pPr>
      <w:r>
        <w:rPr>
          <w:spacing w:val="-2"/>
          <w:sz w:val="20"/>
        </w:rPr>
        <w:t>Gunter,</w:t>
      </w:r>
      <w:r>
        <w:rPr>
          <w:sz w:val="20"/>
        </w:rPr>
        <w:t> </w:t>
      </w:r>
      <w:r>
        <w:rPr>
          <w:spacing w:val="-2"/>
          <w:sz w:val="20"/>
        </w:rPr>
        <w:t>F.R.,</w:t>
      </w:r>
      <w:r>
        <w:rPr>
          <w:sz w:val="20"/>
        </w:rPr>
        <w:t> </w:t>
      </w:r>
      <w:r>
        <w:rPr>
          <w:spacing w:val="-2"/>
          <w:sz w:val="20"/>
        </w:rPr>
        <w:t>2015.</w:t>
      </w:r>
      <w:r>
        <w:rPr>
          <w:spacing w:val="17"/>
          <w:sz w:val="20"/>
        </w:rPr>
        <w:t> </w:t>
      </w:r>
      <w:r>
        <w:rPr>
          <w:spacing w:val="-2"/>
          <w:sz w:val="20"/>
        </w:rPr>
        <w:t>ISIS</w:t>
      </w:r>
      <w:r>
        <w:rPr>
          <w:sz w:val="20"/>
        </w:rPr>
        <w:t> </w:t>
      </w:r>
      <w:r>
        <w:rPr>
          <w:spacing w:val="-2"/>
          <w:sz w:val="20"/>
        </w:rPr>
        <w:t>and</w:t>
      </w:r>
      <w:r>
        <w:rPr>
          <w:sz w:val="20"/>
        </w:rPr>
        <w:t> </w:t>
      </w:r>
      <w:r>
        <w:rPr>
          <w:spacing w:val="-2"/>
          <w:sz w:val="20"/>
        </w:rPr>
        <w:t>oil:</w:t>
      </w:r>
      <w:r>
        <w:rPr>
          <w:spacing w:val="17"/>
          <w:sz w:val="20"/>
        </w:rPr>
        <w:t> </w:t>
      </w:r>
      <w:r>
        <w:rPr>
          <w:spacing w:val="-2"/>
          <w:sz w:val="20"/>
        </w:rPr>
        <w:t>Iraq’s</w:t>
      </w:r>
      <w:r>
        <w:rPr>
          <w:sz w:val="20"/>
        </w:rPr>
        <w:t> </w:t>
      </w:r>
      <w:r>
        <w:rPr>
          <w:spacing w:val="-2"/>
          <w:sz w:val="20"/>
        </w:rPr>
        <w:t>perfect</w:t>
      </w:r>
      <w:r>
        <w:rPr>
          <w:sz w:val="20"/>
        </w:rPr>
        <w:t> </w:t>
      </w:r>
      <w:r>
        <w:rPr>
          <w:spacing w:val="-2"/>
          <w:sz w:val="20"/>
        </w:rPr>
        <w:t>storm.</w:t>
      </w:r>
      <w:r>
        <w:rPr>
          <w:spacing w:val="17"/>
          <w:sz w:val="20"/>
        </w:rPr>
        <w:t> </w:t>
      </w:r>
      <w:r>
        <w:rPr>
          <w:rFonts w:ascii="Bookman Old Style" w:hAnsi="Bookman Old Style"/>
          <w:b w:val="0"/>
          <w:i/>
          <w:spacing w:val="-2"/>
          <w:sz w:val="20"/>
        </w:rPr>
        <w:t>Foreign</w:t>
      </w:r>
      <w:r>
        <w:rPr>
          <w:rFonts w:ascii="Bookman Old Style" w:hAnsi="Bookman Old Style"/>
          <w:b w:val="0"/>
          <w:i/>
          <w:spacing w:val="-8"/>
          <w:sz w:val="20"/>
        </w:rPr>
        <w:t> </w:t>
      </w:r>
      <w:r>
        <w:rPr>
          <w:rFonts w:ascii="Bookman Old Style" w:hAnsi="Bookman Old Style"/>
          <w:b w:val="0"/>
          <w:i/>
          <w:spacing w:val="-2"/>
          <w:sz w:val="20"/>
        </w:rPr>
        <w:t>Policy</w:t>
      </w:r>
      <w:r>
        <w:rPr>
          <w:rFonts w:ascii="Bookman Old Style" w:hAnsi="Bookman Old Style"/>
          <w:b w:val="0"/>
          <w:i/>
          <w:spacing w:val="-7"/>
          <w:sz w:val="20"/>
        </w:rPr>
        <w:t> </w:t>
      </w:r>
      <w:r>
        <w:rPr>
          <w:rFonts w:ascii="Bookman Old Style" w:hAnsi="Bookman Old Style"/>
          <w:b w:val="0"/>
          <w:i/>
          <w:spacing w:val="-2"/>
          <w:sz w:val="20"/>
        </w:rPr>
        <w:t>Research</w:t>
      </w:r>
      <w:r>
        <w:rPr>
          <w:rFonts w:ascii="Bookman Old Style" w:hAnsi="Bookman Old Style"/>
          <w:b w:val="0"/>
          <w:i/>
          <w:spacing w:val="-8"/>
          <w:sz w:val="20"/>
        </w:rPr>
        <w:t> </w:t>
      </w:r>
      <w:r>
        <w:rPr>
          <w:rFonts w:ascii="Bookman Old Style" w:hAnsi="Bookman Old Style"/>
          <w:b w:val="0"/>
          <w:i/>
          <w:spacing w:val="-2"/>
          <w:sz w:val="20"/>
        </w:rPr>
        <w:t>Institute</w:t>
      </w:r>
      <w:r>
        <w:rPr>
          <w:spacing w:val="-2"/>
          <w:sz w:val="20"/>
        </w:rPr>
        <w:t>.</w:t>
      </w:r>
    </w:p>
    <w:p>
      <w:pPr>
        <w:pStyle w:val="ListParagraph"/>
        <w:numPr>
          <w:ilvl w:val="0"/>
          <w:numId w:val="2"/>
        </w:numPr>
        <w:tabs>
          <w:tab w:pos="791" w:val="left" w:leader="none"/>
        </w:tabs>
        <w:spacing w:line="304" w:lineRule="auto" w:before="64" w:after="0"/>
        <w:ind w:left="137" w:right="1794" w:firstLine="298"/>
        <w:jc w:val="left"/>
        <w:rPr>
          <w:sz w:val="20"/>
        </w:rPr>
      </w:pPr>
      <w:r>
        <w:rPr>
          <w:spacing w:val="-2"/>
          <w:sz w:val="20"/>
        </w:rPr>
        <w:t>Henderson,</w:t>
      </w:r>
      <w:r>
        <w:rPr>
          <w:sz w:val="20"/>
        </w:rPr>
        <w:t> </w:t>
      </w:r>
      <w:r>
        <w:rPr>
          <w:spacing w:val="-2"/>
          <w:sz w:val="20"/>
        </w:rPr>
        <w:t>E.A. and Singer,</w:t>
      </w:r>
      <w:r>
        <w:rPr>
          <w:sz w:val="20"/>
        </w:rPr>
        <w:t> </w:t>
      </w:r>
      <w:r>
        <w:rPr>
          <w:spacing w:val="-2"/>
          <w:sz w:val="20"/>
        </w:rPr>
        <w:t>J.D.,</w:t>
      </w:r>
      <w:r>
        <w:rPr>
          <w:sz w:val="20"/>
        </w:rPr>
        <w:t> </w:t>
      </w:r>
      <w:r>
        <w:rPr>
          <w:spacing w:val="-2"/>
          <w:sz w:val="20"/>
        </w:rPr>
        <w:t>2000.</w:t>
      </w:r>
      <w:r>
        <w:rPr>
          <w:spacing w:val="25"/>
          <w:sz w:val="20"/>
        </w:rPr>
        <w:t> </w:t>
      </w:r>
      <w:r>
        <w:rPr>
          <w:spacing w:val="-2"/>
          <w:sz w:val="20"/>
        </w:rPr>
        <w:t>Civil war in the post-colonial world,</w:t>
      </w:r>
      <w:r>
        <w:rPr>
          <w:sz w:val="20"/>
        </w:rPr>
        <w:t> </w:t>
      </w:r>
      <w:r>
        <w:rPr>
          <w:spacing w:val="-2"/>
          <w:sz w:val="20"/>
        </w:rPr>
        <w:t>1946-92.</w:t>
      </w:r>
      <w:r>
        <w:rPr>
          <w:spacing w:val="28"/>
          <w:sz w:val="20"/>
        </w:rPr>
        <w:t> </w:t>
      </w:r>
      <w:r>
        <w:rPr>
          <w:rFonts w:ascii="Bookman Old Style"/>
          <w:b w:val="0"/>
          <w:i/>
          <w:spacing w:val="-2"/>
          <w:sz w:val="20"/>
        </w:rPr>
        <w:t>Journal</w:t>
      </w:r>
      <w:r>
        <w:rPr>
          <w:rFonts w:ascii="Bookman Old Style"/>
          <w:b w:val="0"/>
          <w:i/>
          <w:spacing w:val="-2"/>
          <w:sz w:val="20"/>
        </w:rPr>
        <w:t> of</w:t>
      </w:r>
      <w:r>
        <w:rPr>
          <w:rFonts w:ascii="Bookman Old Style"/>
          <w:b w:val="0"/>
          <w:i/>
          <w:spacing w:val="-8"/>
          <w:sz w:val="20"/>
        </w:rPr>
        <w:t> </w:t>
      </w:r>
      <w:r>
        <w:rPr>
          <w:rFonts w:ascii="Bookman Old Style"/>
          <w:b w:val="0"/>
          <w:i/>
          <w:spacing w:val="-2"/>
          <w:sz w:val="20"/>
        </w:rPr>
        <w:t>Peace</w:t>
      </w:r>
      <w:r>
        <w:rPr>
          <w:rFonts w:ascii="Bookman Old Style"/>
          <w:b w:val="0"/>
          <w:i/>
          <w:spacing w:val="-8"/>
          <w:sz w:val="20"/>
        </w:rPr>
        <w:t> </w:t>
      </w:r>
      <w:r>
        <w:rPr>
          <w:rFonts w:ascii="Bookman Old Style"/>
          <w:b w:val="0"/>
          <w:i/>
          <w:spacing w:val="-2"/>
          <w:sz w:val="20"/>
        </w:rPr>
        <w:t>research</w:t>
      </w:r>
      <w:r>
        <w:rPr>
          <w:spacing w:val="-2"/>
          <w:sz w:val="20"/>
        </w:rPr>
        <w:t>, 37(3), pp.275-299.</w:t>
      </w:r>
    </w:p>
    <w:p>
      <w:pPr>
        <w:spacing w:after="0" w:line="304" w:lineRule="auto"/>
        <w:jc w:val="left"/>
        <w:rPr>
          <w:sz w:val="20"/>
        </w:rPr>
        <w:sectPr>
          <w:pgSz w:w="12240" w:h="15840"/>
          <w:pgMar w:header="0" w:footer="1252" w:top="1100" w:bottom="1440" w:left="1280" w:right="40"/>
        </w:sectPr>
      </w:pPr>
    </w:p>
    <w:p>
      <w:pPr>
        <w:pStyle w:val="ListParagraph"/>
        <w:numPr>
          <w:ilvl w:val="0"/>
          <w:numId w:val="2"/>
        </w:numPr>
        <w:tabs>
          <w:tab w:pos="809" w:val="left" w:leader="none"/>
        </w:tabs>
        <w:spacing w:line="316" w:lineRule="auto" w:before="49" w:after="0"/>
        <w:ind w:left="137" w:right="1795" w:firstLine="298"/>
        <w:jc w:val="left"/>
        <w:rPr>
          <w:sz w:val="20"/>
        </w:rPr>
      </w:pPr>
      <w:r>
        <w:rPr>
          <w:sz w:val="20"/>
        </w:rPr>
        <w:t>Hendrix,</w:t>
      </w:r>
      <w:r>
        <w:rPr>
          <w:spacing w:val="6"/>
          <w:sz w:val="20"/>
        </w:rPr>
        <w:t> </w:t>
      </w:r>
      <w:r>
        <w:rPr>
          <w:sz w:val="20"/>
        </w:rPr>
        <w:t>C.S.,</w:t>
      </w:r>
      <w:r>
        <w:rPr>
          <w:spacing w:val="6"/>
          <w:sz w:val="20"/>
        </w:rPr>
        <w:t> </w:t>
      </w:r>
      <w:r>
        <w:rPr>
          <w:sz w:val="20"/>
        </w:rPr>
        <w:t>2010.</w:t>
      </w:r>
      <w:r>
        <w:rPr>
          <w:spacing w:val="33"/>
          <w:sz w:val="20"/>
        </w:rPr>
        <w:t> </w:t>
      </w:r>
      <w:r>
        <w:rPr>
          <w:sz w:val="20"/>
        </w:rPr>
        <w:t>Measuring</w:t>
      </w:r>
      <w:r>
        <w:rPr>
          <w:spacing w:val="4"/>
          <w:sz w:val="20"/>
        </w:rPr>
        <w:t> </w:t>
      </w:r>
      <w:r>
        <w:rPr>
          <w:sz w:val="20"/>
        </w:rPr>
        <w:t>state</w:t>
      </w:r>
      <w:r>
        <w:rPr>
          <w:spacing w:val="4"/>
          <w:sz w:val="20"/>
        </w:rPr>
        <w:t> </w:t>
      </w:r>
      <w:r>
        <w:rPr>
          <w:sz w:val="20"/>
        </w:rPr>
        <w:t>capacity:</w:t>
      </w:r>
      <w:r>
        <w:rPr>
          <w:spacing w:val="26"/>
          <w:sz w:val="20"/>
        </w:rPr>
        <w:t> </w:t>
      </w:r>
      <w:r>
        <w:rPr>
          <w:sz w:val="20"/>
        </w:rPr>
        <w:t>Theoretical</w:t>
      </w:r>
      <w:r>
        <w:rPr>
          <w:spacing w:val="4"/>
          <w:sz w:val="20"/>
        </w:rPr>
        <w:t> </w:t>
      </w:r>
      <w:r>
        <w:rPr>
          <w:sz w:val="20"/>
        </w:rPr>
        <w:t>and</w:t>
      </w:r>
      <w:r>
        <w:rPr>
          <w:spacing w:val="4"/>
          <w:sz w:val="20"/>
        </w:rPr>
        <w:t> </w:t>
      </w:r>
      <w:r>
        <w:rPr>
          <w:sz w:val="20"/>
        </w:rPr>
        <w:t>empirical</w:t>
      </w:r>
      <w:r>
        <w:rPr>
          <w:spacing w:val="4"/>
          <w:sz w:val="20"/>
        </w:rPr>
        <w:t> </w:t>
      </w:r>
      <w:r>
        <w:rPr>
          <w:sz w:val="20"/>
        </w:rPr>
        <w:t>implications</w:t>
      </w:r>
      <w:r>
        <w:rPr>
          <w:spacing w:val="4"/>
          <w:sz w:val="20"/>
        </w:rPr>
        <w:t> </w:t>
      </w:r>
      <w:r>
        <w:rPr>
          <w:sz w:val="20"/>
        </w:rPr>
        <w:t>for</w:t>
      </w:r>
      <w:r>
        <w:rPr>
          <w:spacing w:val="4"/>
          <w:sz w:val="20"/>
        </w:rPr>
        <w:t> </w:t>
      </w:r>
      <w:r>
        <w:rPr>
          <w:sz w:val="20"/>
        </w:rPr>
        <w:t>the study of civil conflict.</w:t>
      </w:r>
      <w:r>
        <w:rPr>
          <w:spacing w:val="27"/>
          <w:sz w:val="20"/>
        </w:rPr>
        <w:t> </w:t>
      </w:r>
      <w:r>
        <w:rPr>
          <w:sz w:val="20"/>
        </w:rPr>
        <w:t>Journal of peace research, 47(3), pp.273-285.</w:t>
      </w:r>
    </w:p>
    <w:p>
      <w:pPr>
        <w:pStyle w:val="ListParagraph"/>
        <w:numPr>
          <w:ilvl w:val="0"/>
          <w:numId w:val="2"/>
        </w:numPr>
        <w:tabs>
          <w:tab w:pos="778" w:val="left" w:leader="none"/>
        </w:tabs>
        <w:spacing w:line="309" w:lineRule="auto" w:before="0" w:after="0"/>
        <w:ind w:left="137" w:right="1794" w:firstLine="298"/>
        <w:jc w:val="left"/>
        <w:rPr>
          <w:sz w:val="20"/>
        </w:rPr>
      </w:pPr>
      <w:r>
        <w:rPr>
          <w:spacing w:val="-4"/>
          <w:sz w:val="20"/>
        </w:rPr>
        <w:t>Hendrix, C.S., 2017.</w:t>
      </w:r>
      <w:r>
        <w:rPr>
          <w:spacing w:val="18"/>
          <w:sz w:val="20"/>
        </w:rPr>
        <w:t> </w:t>
      </w:r>
      <w:r>
        <w:rPr>
          <w:spacing w:val="-4"/>
          <w:sz w:val="20"/>
        </w:rPr>
        <w:t>Oil prices and interstate conflict.</w:t>
      </w:r>
      <w:r>
        <w:rPr>
          <w:spacing w:val="20"/>
          <w:sz w:val="20"/>
        </w:rPr>
        <w:t> </w:t>
      </w:r>
      <w:r>
        <w:rPr>
          <w:rFonts w:ascii="Bookman Old Style"/>
          <w:b w:val="0"/>
          <w:i/>
          <w:spacing w:val="-4"/>
          <w:sz w:val="20"/>
        </w:rPr>
        <w:t>Conflict</w:t>
      </w:r>
      <w:r>
        <w:rPr>
          <w:rFonts w:ascii="Bookman Old Style"/>
          <w:b w:val="0"/>
          <w:i/>
          <w:spacing w:val="-9"/>
          <w:sz w:val="20"/>
        </w:rPr>
        <w:t> </w:t>
      </w:r>
      <w:r>
        <w:rPr>
          <w:rFonts w:ascii="Bookman Old Style"/>
          <w:b w:val="0"/>
          <w:i/>
          <w:spacing w:val="-4"/>
          <w:sz w:val="20"/>
        </w:rPr>
        <w:t>Management</w:t>
      </w:r>
      <w:r>
        <w:rPr>
          <w:rFonts w:ascii="Bookman Old Style"/>
          <w:b w:val="0"/>
          <w:i/>
          <w:spacing w:val="-9"/>
          <w:sz w:val="20"/>
        </w:rPr>
        <w:t> </w:t>
      </w:r>
      <w:r>
        <w:rPr>
          <w:rFonts w:ascii="Bookman Old Style"/>
          <w:b w:val="0"/>
          <w:i/>
          <w:spacing w:val="-4"/>
          <w:sz w:val="20"/>
        </w:rPr>
        <w:t>and</w:t>
      </w:r>
      <w:r>
        <w:rPr>
          <w:rFonts w:ascii="Bookman Old Style"/>
          <w:b w:val="0"/>
          <w:i/>
          <w:spacing w:val="-8"/>
          <w:sz w:val="20"/>
        </w:rPr>
        <w:t> </w:t>
      </w:r>
      <w:r>
        <w:rPr>
          <w:rFonts w:ascii="Bookman Old Style"/>
          <w:b w:val="0"/>
          <w:i/>
          <w:spacing w:val="-4"/>
          <w:sz w:val="20"/>
        </w:rPr>
        <w:t>Peace</w:t>
      </w:r>
      <w:r>
        <w:rPr>
          <w:rFonts w:ascii="Bookman Old Style"/>
          <w:b w:val="0"/>
          <w:i/>
          <w:spacing w:val="-9"/>
          <w:sz w:val="20"/>
        </w:rPr>
        <w:t> </w:t>
      </w:r>
      <w:r>
        <w:rPr>
          <w:rFonts w:ascii="Bookman Old Style"/>
          <w:b w:val="0"/>
          <w:i/>
          <w:spacing w:val="-4"/>
          <w:sz w:val="20"/>
        </w:rPr>
        <w:t>Science</w:t>
      </w:r>
      <w:r>
        <w:rPr>
          <w:spacing w:val="-4"/>
          <w:sz w:val="20"/>
        </w:rPr>
        <w:t>, </w:t>
      </w:r>
      <w:r>
        <w:rPr>
          <w:sz w:val="20"/>
        </w:rPr>
        <w:t>34(6), pp.575-596.</w:t>
      </w:r>
    </w:p>
    <w:p>
      <w:pPr>
        <w:pStyle w:val="ListParagraph"/>
        <w:numPr>
          <w:ilvl w:val="0"/>
          <w:numId w:val="2"/>
        </w:numPr>
        <w:tabs>
          <w:tab w:pos="843" w:val="left" w:leader="none"/>
        </w:tabs>
        <w:spacing w:line="316" w:lineRule="auto" w:before="0" w:after="0"/>
        <w:ind w:left="137" w:right="1793" w:firstLine="298"/>
        <w:jc w:val="left"/>
        <w:rPr>
          <w:sz w:val="20"/>
        </w:rPr>
      </w:pPr>
      <w:r>
        <w:rPr>
          <w:sz w:val="20"/>
        </w:rPr>
        <w:t>Herbst,</w:t>
      </w:r>
      <w:r>
        <w:rPr>
          <w:spacing w:val="14"/>
          <w:sz w:val="20"/>
        </w:rPr>
        <w:t> </w:t>
      </w:r>
      <w:r>
        <w:rPr>
          <w:sz w:val="20"/>
        </w:rPr>
        <w:t>J.</w:t>
      </w:r>
      <w:r>
        <w:rPr>
          <w:spacing w:val="12"/>
          <w:sz w:val="20"/>
        </w:rPr>
        <w:t> </w:t>
      </w:r>
      <w:r>
        <w:rPr>
          <w:sz w:val="20"/>
        </w:rPr>
        <w:t>(2000).</w:t>
      </w:r>
      <w:r>
        <w:rPr>
          <w:spacing w:val="55"/>
          <w:sz w:val="20"/>
        </w:rPr>
        <w:t> </w:t>
      </w:r>
      <w:r>
        <w:rPr>
          <w:sz w:val="20"/>
        </w:rPr>
        <w:t>Economic</w:t>
      </w:r>
      <w:r>
        <w:rPr>
          <w:spacing w:val="12"/>
          <w:sz w:val="20"/>
        </w:rPr>
        <w:t> </w:t>
      </w:r>
      <w:r>
        <w:rPr>
          <w:sz w:val="20"/>
        </w:rPr>
        <w:t>incentives,</w:t>
      </w:r>
      <w:r>
        <w:rPr>
          <w:spacing w:val="15"/>
          <w:sz w:val="20"/>
        </w:rPr>
        <w:t> </w:t>
      </w:r>
      <w:r>
        <w:rPr>
          <w:sz w:val="20"/>
        </w:rPr>
        <w:t>natural</w:t>
      </w:r>
      <w:r>
        <w:rPr>
          <w:spacing w:val="11"/>
          <w:sz w:val="20"/>
        </w:rPr>
        <w:t> </w:t>
      </w:r>
      <w:r>
        <w:rPr>
          <w:sz w:val="20"/>
        </w:rPr>
        <w:t>resources</w:t>
      </w:r>
      <w:r>
        <w:rPr>
          <w:spacing w:val="12"/>
          <w:sz w:val="20"/>
        </w:rPr>
        <w:t> </w:t>
      </w:r>
      <w:r>
        <w:rPr>
          <w:sz w:val="20"/>
        </w:rPr>
        <w:t>and</w:t>
      </w:r>
      <w:r>
        <w:rPr>
          <w:spacing w:val="11"/>
          <w:sz w:val="20"/>
        </w:rPr>
        <w:t> </w:t>
      </w:r>
      <w:r>
        <w:rPr>
          <w:sz w:val="20"/>
        </w:rPr>
        <w:t>conflict</w:t>
      </w:r>
      <w:r>
        <w:rPr>
          <w:spacing w:val="11"/>
          <w:sz w:val="20"/>
        </w:rPr>
        <w:t> </w:t>
      </w:r>
      <w:r>
        <w:rPr>
          <w:sz w:val="20"/>
        </w:rPr>
        <w:t>in</w:t>
      </w:r>
      <w:r>
        <w:rPr>
          <w:spacing w:val="12"/>
          <w:sz w:val="20"/>
        </w:rPr>
        <w:t> </w:t>
      </w:r>
      <w:r>
        <w:rPr>
          <w:sz w:val="20"/>
        </w:rPr>
        <w:t>Africa.</w:t>
      </w:r>
      <w:r>
        <w:rPr>
          <w:spacing w:val="55"/>
          <w:sz w:val="20"/>
        </w:rPr>
        <w:t> </w:t>
      </w:r>
      <w:r>
        <w:rPr>
          <w:sz w:val="20"/>
        </w:rPr>
        <w:t>Journal</w:t>
      </w:r>
      <w:r>
        <w:rPr>
          <w:spacing w:val="12"/>
          <w:sz w:val="20"/>
        </w:rPr>
        <w:t> </w:t>
      </w:r>
      <w:r>
        <w:rPr>
          <w:sz w:val="20"/>
        </w:rPr>
        <w:t>of African Economies, 9(3), 270-294.</w:t>
      </w:r>
    </w:p>
    <w:p>
      <w:pPr>
        <w:pStyle w:val="ListParagraph"/>
        <w:numPr>
          <w:ilvl w:val="0"/>
          <w:numId w:val="2"/>
        </w:numPr>
        <w:tabs>
          <w:tab w:pos="832" w:val="left" w:leader="none"/>
        </w:tabs>
        <w:spacing w:line="316" w:lineRule="auto" w:before="0" w:after="0"/>
        <w:ind w:left="137" w:right="1794" w:firstLine="298"/>
        <w:jc w:val="left"/>
        <w:rPr>
          <w:sz w:val="20"/>
        </w:rPr>
      </w:pPr>
      <w:r>
        <w:rPr>
          <w:sz w:val="20"/>
        </w:rPr>
        <w:t>Ikelegbe,</w:t>
      </w:r>
      <w:r>
        <w:rPr>
          <w:spacing w:val="18"/>
          <w:sz w:val="20"/>
        </w:rPr>
        <w:t> </w:t>
      </w:r>
      <w:r>
        <w:rPr>
          <w:sz w:val="20"/>
        </w:rPr>
        <w:t>A.,</w:t>
      </w:r>
      <w:r>
        <w:rPr>
          <w:spacing w:val="18"/>
          <w:sz w:val="20"/>
        </w:rPr>
        <w:t> </w:t>
      </w:r>
      <w:r>
        <w:rPr>
          <w:sz w:val="20"/>
        </w:rPr>
        <w:t>2010.</w:t>
      </w:r>
      <w:r>
        <w:rPr>
          <w:spacing w:val="59"/>
          <w:sz w:val="20"/>
        </w:rPr>
        <w:t> </w:t>
      </w:r>
      <w:r>
        <w:rPr>
          <w:sz w:val="20"/>
        </w:rPr>
        <w:t>Oil,</w:t>
      </w:r>
      <w:r>
        <w:rPr>
          <w:spacing w:val="18"/>
          <w:sz w:val="20"/>
        </w:rPr>
        <w:t> </w:t>
      </w:r>
      <w:r>
        <w:rPr>
          <w:sz w:val="20"/>
        </w:rPr>
        <w:t>resource</w:t>
      </w:r>
      <w:r>
        <w:rPr>
          <w:spacing w:val="15"/>
          <w:sz w:val="20"/>
        </w:rPr>
        <w:t> </w:t>
      </w:r>
      <w:r>
        <w:rPr>
          <w:sz w:val="20"/>
        </w:rPr>
        <w:t>conflicts</w:t>
      </w:r>
      <w:r>
        <w:rPr>
          <w:spacing w:val="15"/>
          <w:sz w:val="20"/>
        </w:rPr>
        <w:t> </w:t>
      </w:r>
      <w:r>
        <w:rPr>
          <w:sz w:val="20"/>
        </w:rPr>
        <w:t>and</w:t>
      </w:r>
      <w:r>
        <w:rPr>
          <w:spacing w:val="15"/>
          <w:sz w:val="20"/>
        </w:rPr>
        <w:t> </w:t>
      </w:r>
      <w:r>
        <w:rPr>
          <w:sz w:val="20"/>
        </w:rPr>
        <w:t>the</w:t>
      </w:r>
      <w:r>
        <w:rPr>
          <w:spacing w:val="15"/>
          <w:sz w:val="20"/>
        </w:rPr>
        <w:t> </w:t>
      </w:r>
      <w:r>
        <w:rPr>
          <w:sz w:val="20"/>
        </w:rPr>
        <w:t>post</w:t>
      </w:r>
      <w:r>
        <w:rPr>
          <w:spacing w:val="15"/>
          <w:sz w:val="20"/>
        </w:rPr>
        <w:t> </w:t>
      </w:r>
      <w:r>
        <w:rPr>
          <w:sz w:val="20"/>
        </w:rPr>
        <w:t>conflict</w:t>
      </w:r>
      <w:r>
        <w:rPr>
          <w:spacing w:val="15"/>
          <w:sz w:val="20"/>
        </w:rPr>
        <w:t> </w:t>
      </w:r>
      <w:r>
        <w:rPr>
          <w:sz w:val="20"/>
        </w:rPr>
        <w:t>transition</w:t>
      </w:r>
      <w:r>
        <w:rPr>
          <w:spacing w:val="15"/>
          <w:sz w:val="20"/>
        </w:rPr>
        <w:t> </w:t>
      </w:r>
      <w:r>
        <w:rPr>
          <w:sz w:val="20"/>
        </w:rPr>
        <w:t>in</w:t>
      </w:r>
      <w:r>
        <w:rPr>
          <w:spacing w:val="15"/>
          <w:sz w:val="20"/>
        </w:rPr>
        <w:t> </w:t>
      </w:r>
      <w:r>
        <w:rPr>
          <w:sz w:val="20"/>
        </w:rPr>
        <w:t>the</w:t>
      </w:r>
      <w:r>
        <w:rPr>
          <w:spacing w:val="15"/>
          <w:sz w:val="20"/>
        </w:rPr>
        <w:t> </w:t>
      </w:r>
      <w:r>
        <w:rPr>
          <w:sz w:val="20"/>
        </w:rPr>
        <w:t>Niger</w:t>
      </w:r>
      <w:r>
        <w:rPr>
          <w:spacing w:val="15"/>
          <w:sz w:val="20"/>
        </w:rPr>
        <w:t> </w:t>
      </w:r>
      <w:r>
        <w:rPr>
          <w:sz w:val="20"/>
        </w:rPr>
        <w:t>Delta region:</w:t>
      </w:r>
      <w:r>
        <w:rPr>
          <w:spacing w:val="40"/>
          <w:sz w:val="20"/>
        </w:rPr>
        <w:t> </w:t>
      </w:r>
      <w:r>
        <w:rPr>
          <w:sz w:val="20"/>
        </w:rPr>
        <w:t>Beyond the amnesty.</w:t>
      </w:r>
    </w:p>
    <w:p>
      <w:pPr>
        <w:pStyle w:val="ListParagraph"/>
        <w:numPr>
          <w:ilvl w:val="0"/>
          <w:numId w:val="2"/>
        </w:numPr>
        <w:tabs>
          <w:tab w:pos="778" w:val="left" w:leader="none"/>
        </w:tabs>
        <w:spacing w:line="309" w:lineRule="auto" w:before="0" w:after="0"/>
        <w:ind w:left="137" w:right="1794" w:firstLine="298"/>
        <w:jc w:val="left"/>
        <w:rPr>
          <w:sz w:val="20"/>
        </w:rPr>
      </w:pPr>
      <w:r>
        <w:rPr>
          <w:spacing w:val="-4"/>
          <w:sz w:val="20"/>
        </w:rPr>
        <w:t>Le Billon, P., 2012.</w:t>
      </w:r>
      <w:r>
        <w:rPr>
          <w:spacing w:val="17"/>
          <w:sz w:val="20"/>
        </w:rPr>
        <w:t> </w:t>
      </w:r>
      <w:r>
        <w:rPr>
          <w:rFonts w:ascii="Bookman Old Style"/>
          <w:b w:val="0"/>
          <w:i/>
          <w:spacing w:val="-4"/>
          <w:sz w:val="20"/>
        </w:rPr>
        <w:t>Wars</w:t>
      </w:r>
      <w:r>
        <w:rPr>
          <w:rFonts w:ascii="Bookman Old Style"/>
          <w:b w:val="0"/>
          <w:i/>
          <w:spacing w:val="-10"/>
          <w:sz w:val="20"/>
        </w:rPr>
        <w:t> </w:t>
      </w:r>
      <w:r>
        <w:rPr>
          <w:rFonts w:ascii="Bookman Old Style"/>
          <w:b w:val="0"/>
          <w:i/>
          <w:spacing w:val="-4"/>
          <w:sz w:val="20"/>
        </w:rPr>
        <w:t>of</w:t>
      </w:r>
      <w:r>
        <w:rPr>
          <w:rFonts w:ascii="Bookman Old Style"/>
          <w:b w:val="0"/>
          <w:i/>
          <w:spacing w:val="-11"/>
          <w:sz w:val="20"/>
        </w:rPr>
        <w:t> </w:t>
      </w:r>
      <w:r>
        <w:rPr>
          <w:rFonts w:ascii="Bookman Old Style"/>
          <w:b w:val="0"/>
          <w:i/>
          <w:spacing w:val="-4"/>
          <w:sz w:val="20"/>
        </w:rPr>
        <w:t>Plunder:</w:t>
      </w:r>
      <w:r>
        <w:rPr>
          <w:rFonts w:ascii="Bookman Old Style"/>
          <w:b w:val="0"/>
          <w:i/>
          <w:spacing w:val="6"/>
          <w:sz w:val="20"/>
        </w:rPr>
        <w:t> </w:t>
      </w:r>
      <w:r>
        <w:rPr>
          <w:rFonts w:ascii="Bookman Old Style"/>
          <w:b w:val="0"/>
          <w:i/>
          <w:spacing w:val="-4"/>
          <w:sz w:val="20"/>
        </w:rPr>
        <w:t>Conflicts,</w:t>
      </w:r>
      <w:r>
        <w:rPr>
          <w:rFonts w:ascii="Bookman Old Style"/>
          <w:b w:val="0"/>
          <w:i/>
          <w:spacing w:val="-10"/>
          <w:sz w:val="20"/>
        </w:rPr>
        <w:t> </w:t>
      </w:r>
      <w:r>
        <w:rPr>
          <w:rFonts w:ascii="Bookman Old Style"/>
          <w:b w:val="0"/>
          <w:i/>
          <w:spacing w:val="-4"/>
          <w:sz w:val="20"/>
        </w:rPr>
        <w:t>Profits</w:t>
      </w:r>
      <w:r>
        <w:rPr>
          <w:rFonts w:ascii="Bookman Old Style"/>
          <w:b w:val="0"/>
          <w:i/>
          <w:spacing w:val="-10"/>
          <w:sz w:val="20"/>
        </w:rPr>
        <w:t> </w:t>
      </w:r>
      <w:r>
        <w:rPr>
          <w:rFonts w:ascii="Bookman Old Style"/>
          <w:b w:val="0"/>
          <w:i/>
          <w:spacing w:val="-4"/>
          <w:sz w:val="20"/>
        </w:rPr>
        <w:t>and</w:t>
      </w:r>
      <w:r>
        <w:rPr>
          <w:rFonts w:ascii="Bookman Old Style"/>
          <w:b w:val="0"/>
          <w:i/>
          <w:spacing w:val="-11"/>
          <w:sz w:val="20"/>
        </w:rPr>
        <w:t> </w:t>
      </w:r>
      <w:r>
        <w:rPr>
          <w:rFonts w:ascii="Bookman Old Style"/>
          <w:b w:val="0"/>
          <w:i/>
          <w:spacing w:val="-4"/>
          <w:sz w:val="20"/>
        </w:rPr>
        <w:t>the</w:t>
      </w:r>
      <w:r>
        <w:rPr>
          <w:rFonts w:ascii="Bookman Old Style"/>
          <w:b w:val="0"/>
          <w:i/>
          <w:spacing w:val="-11"/>
          <w:sz w:val="20"/>
        </w:rPr>
        <w:t> </w:t>
      </w:r>
      <w:r>
        <w:rPr>
          <w:rFonts w:ascii="Bookman Old Style"/>
          <w:b w:val="0"/>
          <w:i/>
          <w:spacing w:val="-4"/>
          <w:sz w:val="20"/>
        </w:rPr>
        <w:t>Politics</w:t>
      </w:r>
      <w:r>
        <w:rPr>
          <w:rFonts w:ascii="Bookman Old Style"/>
          <w:b w:val="0"/>
          <w:i/>
          <w:spacing w:val="-10"/>
          <w:sz w:val="20"/>
        </w:rPr>
        <w:t> </w:t>
      </w:r>
      <w:r>
        <w:rPr>
          <w:rFonts w:ascii="Bookman Old Style"/>
          <w:b w:val="0"/>
          <w:i/>
          <w:spacing w:val="-4"/>
          <w:sz w:val="20"/>
        </w:rPr>
        <w:t>of</w:t>
      </w:r>
      <w:r>
        <w:rPr>
          <w:rFonts w:ascii="Bookman Old Style"/>
          <w:b w:val="0"/>
          <w:i/>
          <w:spacing w:val="-11"/>
          <w:sz w:val="20"/>
        </w:rPr>
        <w:t> </w:t>
      </w:r>
      <w:r>
        <w:rPr>
          <w:rFonts w:ascii="Bookman Old Style"/>
          <w:b w:val="0"/>
          <w:i/>
          <w:spacing w:val="-4"/>
          <w:sz w:val="20"/>
        </w:rPr>
        <w:t>Resources</w:t>
      </w:r>
      <w:r>
        <w:rPr>
          <w:spacing w:val="-4"/>
          <w:sz w:val="20"/>
        </w:rPr>
        <w:t>.</w:t>
      </w:r>
      <w:r>
        <w:rPr>
          <w:spacing w:val="17"/>
          <w:sz w:val="20"/>
        </w:rPr>
        <w:t> </w:t>
      </w:r>
      <w:r>
        <w:rPr>
          <w:spacing w:val="-4"/>
          <w:sz w:val="20"/>
        </w:rPr>
        <w:t>Columbia </w:t>
      </w:r>
      <w:r>
        <w:rPr>
          <w:sz w:val="20"/>
        </w:rPr>
        <w:t>University Press.</w:t>
      </w:r>
    </w:p>
    <w:p>
      <w:pPr>
        <w:pStyle w:val="ListParagraph"/>
        <w:numPr>
          <w:ilvl w:val="0"/>
          <w:numId w:val="2"/>
        </w:numPr>
        <w:tabs>
          <w:tab w:pos="777" w:val="left" w:leader="none"/>
        </w:tabs>
        <w:spacing w:line="316" w:lineRule="auto" w:before="0" w:after="0"/>
        <w:ind w:left="137" w:right="1797" w:firstLine="298"/>
        <w:jc w:val="left"/>
        <w:rPr>
          <w:sz w:val="20"/>
        </w:rPr>
      </w:pPr>
      <w:r>
        <w:rPr>
          <w:sz w:val="20"/>
        </w:rPr>
        <w:t>Lu, L.,</w:t>
      </w:r>
      <w:r>
        <w:rPr>
          <w:spacing w:val="40"/>
          <w:sz w:val="20"/>
        </w:rPr>
        <w:t> </w:t>
      </w:r>
      <w:r>
        <w:rPr>
          <w:sz w:val="20"/>
        </w:rPr>
        <w:t>Thies, C. G. (2011).</w:t>
      </w:r>
      <w:r>
        <w:rPr>
          <w:spacing w:val="23"/>
          <w:sz w:val="20"/>
        </w:rPr>
        <w:t> </w:t>
      </w:r>
      <w:r>
        <w:rPr>
          <w:sz w:val="20"/>
        </w:rPr>
        <w:t>Economic grievance and the severity of civil war.</w:t>
      </w:r>
      <w:r>
        <w:rPr>
          <w:spacing w:val="23"/>
          <w:sz w:val="20"/>
        </w:rPr>
        <w:t> </w:t>
      </w:r>
      <w:r>
        <w:rPr>
          <w:sz w:val="20"/>
        </w:rPr>
        <w:t>Civil Wars, 13(3), </w:t>
      </w:r>
      <w:r>
        <w:rPr>
          <w:spacing w:val="-2"/>
          <w:sz w:val="20"/>
        </w:rPr>
        <w:t>215-231.</w:t>
      </w:r>
    </w:p>
    <w:p>
      <w:pPr>
        <w:pStyle w:val="ListParagraph"/>
        <w:numPr>
          <w:ilvl w:val="0"/>
          <w:numId w:val="2"/>
        </w:numPr>
        <w:tabs>
          <w:tab w:pos="796" w:val="left" w:leader="none"/>
        </w:tabs>
        <w:spacing w:line="309" w:lineRule="auto" w:before="0" w:after="0"/>
        <w:ind w:left="137" w:right="1794" w:firstLine="298"/>
        <w:jc w:val="left"/>
        <w:rPr>
          <w:sz w:val="20"/>
        </w:rPr>
      </w:pPr>
      <w:r>
        <w:rPr>
          <w:sz w:val="20"/>
        </w:rPr>
        <w:t>Mason, T.D. and Krane, D.A., 1989.</w:t>
      </w:r>
      <w:r>
        <w:rPr>
          <w:spacing w:val="35"/>
          <w:sz w:val="20"/>
        </w:rPr>
        <w:t> </w:t>
      </w:r>
      <w:r>
        <w:rPr>
          <w:sz w:val="20"/>
        </w:rPr>
        <w:t>The political economy of death squads:</w:t>
      </w:r>
      <w:r>
        <w:rPr>
          <w:spacing w:val="31"/>
          <w:sz w:val="20"/>
        </w:rPr>
        <w:t> </w:t>
      </w:r>
      <w:r>
        <w:rPr>
          <w:sz w:val="20"/>
        </w:rPr>
        <w:t>Toward a theory </w:t>
      </w:r>
      <w:r>
        <w:rPr>
          <w:spacing w:val="-2"/>
          <w:sz w:val="20"/>
        </w:rPr>
        <w:t>of the impact of state-sanctioned terror.</w:t>
      </w:r>
      <w:r>
        <w:rPr>
          <w:spacing w:val="24"/>
          <w:sz w:val="20"/>
        </w:rPr>
        <w:t> </w:t>
      </w:r>
      <w:r>
        <w:rPr>
          <w:rFonts w:ascii="Bookman Old Style"/>
          <w:b w:val="0"/>
          <w:i/>
          <w:spacing w:val="-2"/>
          <w:sz w:val="20"/>
        </w:rPr>
        <w:t>International Studies Quarterly</w:t>
      </w:r>
      <w:r>
        <w:rPr>
          <w:spacing w:val="-2"/>
          <w:sz w:val="20"/>
        </w:rPr>
        <w:t>, 33(2), pp.175-198.</w:t>
      </w:r>
    </w:p>
    <w:p>
      <w:pPr>
        <w:pStyle w:val="ListParagraph"/>
        <w:numPr>
          <w:ilvl w:val="0"/>
          <w:numId w:val="2"/>
        </w:numPr>
        <w:tabs>
          <w:tab w:pos="801" w:val="left" w:leader="none"/>
        </w:tabs>
        <w:spacing w:line="316" w:lineRule="auto" w:before="0" w:after="0"/>
        <w:ind w:left="137" w:right="1794" w:firstLine="298"/>
        <w:jc w:val="left"/>
        <w:rPr>
          <w:sz w:val="20"/>
        </w:rPr>
      </w:pPr>
      <w:r>
        <w:rPr>
          <w:sz w:val="20"/>
        </w:rPr>
        <w:t>Miguel,</w:t>
      </w:r>
      <w:r>
        <w:rPr>
          <w:spacing w:val="7"/>
          <w:sz w:val="20"/>
        </w:rPr>
        <w:t> </w:t>
      </w:r>
      <w:r>
        <w:rPr>
          <w:sz w:val="20"/>
        </w:rPr>
        <w:t>E.,</w:t>
      </w:r>
      <w:r>
        <w:rPr>
          <w:spacing w:val="7"/>
          <w:sz w:val="20"/>
        </w:rPr>
        <w:t> </w:t>
      </w:r>
      <w:r>
        <w:rPr>
          <w:sz w:val="20"/>
        </w:rPr>
        <w:t>Satyanath,</w:t>
      </w:r>
      <w:r>
        <w:rPr>
          <w:spacing w:val="7"/>
          <w:sz w:val="20"/>
        </w:rPr>
        <w:t> </w:t>
      </w:r>
      <w:r>
        <w:rPr>
          <w:sz w:val="20"/>
        </w:rPr>
        <w:t>S.,</w:t>
      </w:r>
      <w:r>
        <w:rPr>
          <w:spacing w:val="63"/>
          <w:sz w:val="20"/>
        </w:rPr>
        <w:t> </w:t>
      </w:r>
      <w:r>
        <w:rPr>
          <w:sz w:val="20"/>
        </w:rPr>
        <w:t>Sergenti,</w:t>
      </w:r>
      <w:r>
        <w:rPr>
          <w:spacing w:val="8"/>
          <w:sz w:val="20"/>
        </w:rPr>
        <w:t> </w:t>
      </w:r>
      <w:r>
        <w:rPr>
          <w:sz w:val="20"/>
        </w:rPr>
        <w:t>E. (2004).</w:t>
      </w:r>
      <w:r>
        <w:rPr>
          <w:spacing w:val="33"/>
          <w:sz w:val="20"/>
        </w:rPr>
        <w:t> </w:t>
      </w:r>
      <w:r>
        <w:rPr>
          <w:sz w:val="20"/>
        </w:rPr>
        <w:t>Economic shocks and civil conflict:</w:t>
      </w:r>
      <w:r>
        <w:rPr>
          <w:spacing w:val="28"/>
          <w:sz w:val="20"/>
        </w:rPr>
        <w:t> </w:t>
      </w:r>
      <w:r>
        <w:rPr>
          <w:sz w:val="20"/>
        </w:rPr>
        <w:t>An instru- mental variables approach.</w:t>
      </w:r>
      <w:r>
        <w:rPr>
          <w:spacing w:val="28"/>
          <w:sz w:val="20"/>
        </w:rPr>
        <w:t> </w:t>
      </w:r>
      <w:r>
        <w:rPr>
          <w:sz w:val="20"/>
        </w:rPr>
        <w:t>Journal of political Economy, 112(4), 725-753.</w:t>
      </w:r>
    </w:p>
    <w:p>
      <w:pPr>
        <w:pStyle w:val="ListParagraph"/>
        <w:numPr>
          <w:ilvl w:val="0"/>
          <w:numId w:val="2"/>
        </w:numPr>
        <w:tabs>
          <w:tab w:pos="780" w:val="left" w:leader="none"/>
        </w:tabs>
        <w:spacing w:line="225" w:lineRule="exact" w:before="0" w:after="0"/>
        <w:ind w:left="779" w:right="0" w:hanging="344"/>
        <w:jc w:val="left"/>
        <w:rPr>
          <w:sz w:val="20"/>
        </w:rPr>
      </w:pPr>
      <w:r>
        <w:rPr>
          <w:sz w:val="20"/>
        </w:rPr>
        <w:t>Newsom,</w:t>
      </w:r>
      <w:r>
        <w:rPr>
          <w:spacing w:val="6"/>
          <w:sz w:val="20"/>
        </w:rPr>
        <w:t> </w:t>
      </w:r>
      <w:r>
        <w:rPr>
          <w:sz w:val="20"/>
        </w:rPr>
        <w:t>C.</w:t>
      </w:r>
      <w:r>
        <w:rPr>
          <w:spacing w:val="6"/>
          <w:sz w:val="20"/>
        </w:rPr>
        <w:t> </w:t>
      </w:r>
      <w:r>
        <w:rPr>
          <w:sz w:val="20"/>
        </w:rPr>
        <w:t>(2011).</w:t>
      </w:r>
      <w:r>
        <w:rPr>
          <w:spacing w:val="25"/>
          <w:sz w:val="20"/>
        </w:rPr>
        <w:t> </w:t>
      </w:r>
      <w:r>
        <w:rPr>
          <w:sz w:val="20"/>
        </w:rPr>
        <w:t>Conflict</w:t>
      </w:r>
      <w:r>
        <w:rPr>
          <w:spacing w:val="6"/>
          <w:sz w:val="20"/>
        </w:rPr>
        <w:t> </w:t>
      </w:r>
      <w:r>
        <w:rPr>
          <w:sz w:val="20"/>
        </w:rPr>
        <w:t>in</w:t>
      </w:r>
      <w:r>
        <w:rPr>
          <w:spacing w:val="6"/>
          <w:sz w:val="20"/>
        </w:rPr>
        <w:t> </w:t>
      </w:r>
      <w:r>
        <w:rPr>
          <w:sz w:val="20"/>
        </w:rPr>
        <w:t>the</w:t>
      </w:r>
      <w:r>
        <w:rPr>
          <w:spacing w:val="6"/>
          <w:sz w:val="20"/>
        </w:rPr>
        <w:t> </w:t>
      </w:r>
      <w:r>
        <w:rPr>
          <w:sz w:val="20"/>
        </w:rPr>
        <w:t>Niger</w:t>
      </w:r>
      <w:r>
        <w:rPr>
          <w:spacing w:val="7"/>
          <w:sz w:val="20"/>
        </w:rPr>
        <w:t> </w:t>
      </w:r>
      <w:r>
        <w:rPr>
          <w:sz w:val="20"/>
        </w:rPr>
        <w:t>Delta:.</w:t>
      </w:r>
      <w:r>
        <w:rPr>
          <w:spacing w:val="24"/>
          <w:sz w:val="20"/>
        </w:rPr>
        <w:t> </w:t>
      </w:r>
      <w:r>
        <w:rPr>
          <w:sz w:val="20"/>
        </w:rPr>
        <w:t>US</w:t>
      </w:r>
      <w:r>
        <w:rPr>
          <w:spacing w:val="6"/>
          <w:sz w:val="20"/>
        </w:rPr>
        <w:t> </w:t>
      </w:r>
      <w:r>
        <w:rPr>
          <w:sz w:val="20"/>
        </w:rPr>
        <w:t>Institute</w:t>
      </w:r>
      <w:r>
        <w:rPr>
          <w:spacing w:val="7"/>
          <w:sz w:val="20"/>
        </w:rPr>
        <w:t> </w:t>
      </w:r>
      <w:r>
        <w:rPr>
          <w:sz w:val="20"/>
        </w:rPr>
        <w:t>of</w:t>
      </w:r>
      <w:r>
        <w:rPr>
          <w:spacing w:val="6"/>
          <w:sz w:val="20"/>
        </w:rPr>
        <w:t> </w:t>
      </w:r>
      <w:r>
        <w:rPr>
          <w:spacing w:val="-2"/>
          <w:sz w:val="20"/>
        </w:rPr>
        <w:t>Peace.</w:t>
      </w:r>
    </w:p>
    <w:p>
      <w:pPr>
        <w:pStyle w:val="ListParagraph"/>
        <w:numPr>
          <w:ilvl w:val="0"/>
          <w:numId w:val="2"/>
        </w:numPr>
        <w:tabs>
          <w:tab w:pos="692" w:val="left" w:leader="none"/>
        </w:tabs>
        <w:spacing w:line="309" w:lineRule="auto" w:before="69" w:after="0"/>
        <w:ind w:left="137" w:right="1794" w:firstLine="298"/>
        <w:jc w:val="both"/>
        <w:rPr>
          <w:sz w:val="20"/>
        </w:rPr>
      </w:pPr>
      <w:r>
        <w:rPr>
          <w:sz w:val="20"/>
        </w:rPr>
        <w:t>. Obi,</w:t>
      </w:r>
      <w:r>
        <w:rPr>
          <w:spacing w:val="-5"/>
          <w:sz w:val="20"/>
        </w:rPr>
        <w:t> </w:t>
      </w:r>
      <w:r>
        <w:rPr>
          <w:sz w:val="20"/>
        </w:rPr>
        <w:t>C.I.,</w:t>
      </w:r>
      <w:r>
        <w:rPr>
          <w:spacing w:val="-5"/>
          <w:sz w:val="20"/>
        </w:rPr>
        <w:t> </w:t>
      </w:r>
      <w:r>
        <w:rPr>
          <w:sz w:val="20"/>
        </w:rPr>
        <w:t>2010. Oil</w:t>
      </w:r>
      <w:r>
        <w:rPr>
          <w:spacing w:val="-5"/>
          <w:sz w:val="20"/>
        </w:rPr>
        <w:t> </w:t>
      </w:r>
      <w:r>
        <w:rPr>
          <w:sz w:val="20"/>
        </w:rPr>
        <w:t>extraction,</w:t>
      </w:r>
      <w:r>
        <w:rPr>
          <w:spacing w:val="-5"/>
          <w:sz w:val="20"/>
        </w:rPr>
        <w:t> </w:t>
      </w:r>
      <w:r>
        <w:rPr>
          <w:sz w:val="20"/>
        </w:rPr>
        <w:t>dispossession,</w:t>
      </w:r>
      <w:r>
        <w:rPr>
          <w:spacing w:val="-5"/>
          <w:sz w:val="20"/>
        </w:rPr>
        <w:t> </w:t>
      </w:r>
      <w:r>
        <w:rPr>
          <w:sz w:val="20"/>
        </w:rPr>
        <w:t>resistance,</w:t>
      </w:r>
      <w:r>
        <w:rPr>
          <w:spacing w:val="-5"/>
          <w:sz w:val="20"/>
        </w:rPr>
        <w:t> </w:t>
      </w:r>
      <w:r>
        <w:rPr>
          <w:sz w:val="20"/>
        </w:rPr>
        <w:t>and</w:t>
      </w:r>
      <w:r>
        <w:rPr>
          <w:spacing w:val="-5"/>
          <w:sz w:val="20"/>
        </w:rPr>
        <w:t> </w:t>
      </w:r>
      <w:r>
        <w:rPr>
          <w:sz w:val="20"/>
        </w:rPr>
        <w:t>conflict</w:t>
      </w:r>
      <w:r>
        <w:rPr>
          <w:spacing w:val="-5"/>
          <w:sz w:val="20"/>
        </w:rPr>
        <w:t> </w:t>
      </w:r>
      <w:r>
        <w:rPr>
          <w:sz w:val="20"/>
        </w:rPr>
        <w:t>in</w:t>
      </w:r>
      <w:r>
        <w:rPr>
          <w:spacing w:val="-5"/>
          <w:sz w:val="20"/>
        </w:rPr>
        <w:t> </w:t>
      </w:r>
      <w:r>
        <w:rPr>
          <w:sz w:val="20"/>
        </w:rPr>
        <w:t>Nigeria’s</w:t>
      </w:r>
      <w:r>
        <w:rPr>
          <w:spacing w:val="-5"/>
          <w:sz w:val="20"/>
        </w:rPr>
        <w:t> </w:t>
      </w:r>
      <w:r>
        <w:rPr>
          <w:sz w:val="20"/>
        </w:rPr>
        <w:t>oil-rich</w:t>
      </w:r>
      <w:r>
        <w:rPr>
          <w:spacing w:val="-5"/>
          <w:sz w:val="20"/>
        </w:rPr>
        <w:t> </w:t>
      </w:r>
      <w:r>
        <w:rPr>
          <w:sz w:val="20"/>
        </w:rPr>
        <w:t>Niger </w:t>
      </w:r>
      <w:r>
        <w:rPr>
          <w:spacing w:val="-2"/>
          <w:w w:val="90"/>
          <w:sz w:val="20"/>
        </w:rPr>
        <w:t>Delta.</w:t>
      </w:r>
      <w:r>
        <w:rPr>
          <w:spacing w:val="25"/>
          <w:sz w:val="20"/>
        </w:rPr>
        <w:t> </w:t>
      </w:r>
      <w:r>
        <w:rPr>
          <w:rFonts w:ascii="Bookman Old Style" w:hAnsi="Bookman Old Style"/>
          <w:b w:val="0"/>
          <w:i/>
          <w:spacing w:val="-2"/>
          <w:w w:val="90"/>
          <w:sz w:val="20"/>
        </w:rPr>
        <w:t>Canadian</w:t>
      </w:r>
      <w:r>
        <w:rPr>
          <w:rFonts w:ascii="Bookman Old Style" w:hAnsi="Bookman Old Style"/>
          <w:b w:val="0"/>
          <w:i/>
          <w:spacing w:val="-5"/>
          <w:w w:val="90"/>
          <w:sz w:val="20"/>
        </w:rPr>
        <w:t> </w:t>
      </w:r>
      <w:r>
        <w:rPr>
          <w:rFonts w:ascii="Bookman Old Style" w:hAnsi="Bookman Old Style"/>
          <w:b w:val="0"/>
          <w:i/>
          <w:spacing w:val="-2"/>
          <w:w w:val="90"/>
          <w:sz w:val="20"/>
        </w:rPr>
        <w:t>Journal</w:t>
      </w:r>
      <w:r>
        <w:rPr>
          <w:rFonts w:ascii="Bookman Old Style" w:hAnsi="Bookman Old Style"/>
          <w:b w:val="0"/>
          <w:i/>
          <w:spacing w:val="-5"/>
          <w:w w:val="90"/>
          <w:sz w:val="20"/>
        </w:rPr>
        <w:t> </w:t>
      </w:r>
      <w:r>
        <w:rPr>
          <w:rFonts w:ascii="Bookman Old Style" w:hAnsi="Bookman Old Style"/>
          <w:b w:val="0"/>
          <w:i/>
          <w:spacing w:val="-2"/>
          <w:w w:val="90"/>
          <w:sz w:val="20"/>
        </w:rPr>
        <w:t>of</w:t>
      </w:r>
      <w:r>
        <w:rPr>
          <w:rFonts w:ascii="Bookman Old Style" w:hAnsi="Bookman Old Style"/>
          <w:b w:val="0"/>
          <w:i/>
          <w:spacing w:val="-5"/>
          <w:w w:val="90"/>
          <w:sz w:val="20"/>
        </w:rPr>
        <w:t> </w:t>
      </w:r>
      <w:r>
        <w:rPr>
          <w:rFonts w:ascii="Bookman Old Style" w:hAnsi="Bookman Old Style"/>
          <w:b w:val="0"/>
          <w:i/>
          <w:spacing w:val="-2"/>
          <w:w w:val="90"/>
          <w:sz w:val="20"/>
        </w:rPr>
        <w:t>Development</w:t>
      </w:r>
      <w:r>
        <w:rPr>
          <w:rFonts w:ascii="Bookman Old Style" w:hAnsi="Bookman Old Style"/>
          <w:b w:val="0"/>
          <w:i/>
          <w:spacing w:val="-5"/>
          <w:w w:val="90"/>
          <w:sz w:val="20"/>
        </w:rPr>
        <w:t> </w:t>
      </w:r>
      <w:r>
        <w:rPr>
          <w:rFonts w:ascii="Bookman Old Style" w:hAnsi="Bookman Old Style"/>
          <w:b w:val="0"/>
          <w:i/>
          <w:spacing w:val="-2"/>
          <w:w w:val="90"/>
          <w:sz w:val="20"/>
        </w:rPr>
        <w:t>Studies/Revue</w:t>
      </w:r>
      <w:r>
        <w:rPr>
          <w:rFonts w:ascii="Bookman Old Style" w:hAnsi="Bookman Old Style"/>
          <w:b w:val="0"/>
          <w:i/>
          <w:spacing w:val="-5"/>
          <w:w w:val="90"/>
          <w:sz w:val="20"/>
        </w:rPr>
        <w:t> </w:t>
      </w:r>
      <w:r>
        <w:rPr>
          <w:rFonts w:ascii="Bookman Old Style" w:hAnsi="Bookman Old Style"/>
          <w:b w:val="0"/>
          <w:i/>
          <w:spacing w:val="-2"/>
          <w:w w:val="90"/>
          <w:sz w:val="20"/>
        </w:rPr>
        <w:t>canadienne</w:t>
      </w:r>
      <w:r>
        <w:rPr>
          <w:rFonts w:ascii="Bookman Old Style" w:hAnsi="Bookman Old Style"/>
          <w:b w:val="0"/>
          <w:i/>
          <w:spacing w:val="-5"/>
          <w:w w:val="90"/>
          <w:sz w:val="20"/>
        </w:rPr>
        <w:t> </w:t>
      </w:r>
      <w:r>
        <w:rPr>
          <w:rFonts w:ascii="Bookman Old Style" w:hAnsi="Bookman Old Style"/>
          <w:b w:val="0"/>
          <w:i/>
          <w:spacing w:val="-2"/>
          <w:w w:val="90"/>
          <w:sz w:val="20"/>
        </w:rPr>
        <w:t>d’´etudes</w:t>
      </w:r>
      <w:r>
        <w:rPr>
          <w:rFonts w:ascii="Bookman Old Style" w:hAnsi="Bookman Old Style"/>
          <w:b w:val="0"/>
          <w:i/>
          <w:spacing w:val="-5"/>
          <w:w w:val="90"/>
          <w:sz w:val="20"/>
        </w:rPr>
        <w:t> </w:t>
      </w:r>
      <w:r>
        <w:rPr>
          <w:rFonts w:ascii="Bookman Old Style" w:hAnsi="Bookman Old Style"/>
          <w:b w:val="0"/>
          <w:i/>
          <w:spacing w:val="-2"/>
          <w:w w:val="90"/>
          <w:sz w:val="20"/>
        </w:rPr>
        <w:t>du</w:t>
      </w:r>
      <w:r>
        <w:rPr>
          <w:rFonts w:ascii="Bookman Old Style" w:hAnsi="Bookman Old Style"/>
          <w:b w:val="0"/>
          <w:i/>
          <w:spacing w:val="-5"/>
          <w:w w:val="90"/>
          <w:sz w:val="20"/>
        </w:rPr>
        <w:t> </w:t>
      </w:r>
      <w:r>
        <w:rPr>
          <w:rFonts w:ascii="Bookman Old Style" w:hAnsi="Bookman Old Style"/>
          <w:b w:val="0"/>
          <w:i/>
          <w:spacing w:val="-2"/>
          <w:w w:val="90"/>
          <w:sz w:val="20"/>
        </w:rPr>
        <w:t>d´eveloppement</w:t>
      </w:r>
      <w:r>
        <w:rPr>
          <w:spacing w:val="-2"/>
          <w:w w:val="90"/>
          <w:sz w:val="20"/>
        </w:rPr>
        <w:t>, 30(1-2), </w:t>
      </w:r>
      <w:r>
        <w:rPr>
          <w:spacing w:val="-2"/>
          <w:sz w:val="20"/>
        </w:rPr>
        <w:t>pp.219-236.</w:t>
      </w:r>
    </w:p>
    <w:p>
      <w:pPr>
        <w:pStyle w:val="ListParagraph"/>
        <w:numPr>
          <w:ilvl w:val="0"/>
          <w:numId w:val="2"/>
        </w:numPr>
        <w:tabs>
          <w:tab w:pos="783" w:val="left" w:leader="none"/>
        </w:tabs>
        <w:spacing w:line="309" w:lineRule="auto" w:before="7" w:after="0"/>
        <w:ind w:left="137" w:right="1794" w:firstLine="298"/>
        <w:jc w:val="both"/>
        <w:rPr>
          <w:sz w:val="20"/>
        </w:rPr>
      </w:pPr>
      <w:r>
        <w:rPr>
          <w:sz w:val="20"/>
        </w:rPr>
        <w:t>Okonofua,</w:t>
      </w:r>
      <w:r>
        <w:rPr>
          <w:spacing w:val="-3"/>
          <w:sz w:val="20"/>
        </w:rPr>
        <w:t> </w:t>
      </w:r>
      <w:r>
        <w:rPr>
          <w:sz w:val="20"/>
        </w:rPr>
        <w:t>B.A.,</w:t>
      </w:r>
      <w:r>
        <w:rPr>
          <w:spacing w:val="-3"/>
          <w:sz w:val="20"/>
        </w:rPr>
        <w:t> </w:t>
      </w:r>
      <w:r>
        <w:rPr>
          <w:sz w:val="20"/>
        </w:rPr>
        <w:t>2016. The</w:t>
      </w:r>
      <w:r>
        <w:rPr>
          <w:spacing w:val="-3"/>
          <w:sz w:val="20"/>
        </w:rPr>
        <w:t> </w:t>
      </w:r>
      <w:r>
        <w:rPr>
          <w:sz w:val="20"/>
        </w:rPr>
        <w:t>Niger</w:t>
      </w:r>
      <w:r>
        <w:rPr>
          <w:spacing w:val="-3"/>
          <w:sz w:val="20"/>
        </w:rPr>
        <w:t> </w:t>
      </w:r>
      <w:r>
        <w:rPr>
          <w:sz w:val="20"/>
        </w:rPr>
        <w:t>Delta</w:t>
      </w:r>
      <w:r>
        <w:rPr>
          <w:spacing w:val="-3"/>
          <w:sz w:val="20"/>
        </w:rPr>
        <w:t> </w:t>
      </w:r>
      <w:r>
        <w:rPr>
          <w:sz w:val="20"/>
        </w:rPr>
        <w:t>amnesty</w:t>
      </w:r>
      <w:r>
        <w:rPr>
          <w:spacing w:val="-3"/>
          <w:sz w:val="20"/>
        </w:rPr>
        <w:t> </w:t>
      </w:r>
      <w:r>
        <w:rPr>
          <w:sz w:val="20"/>
        </w:rPr>
        <w:t>program: The</w:t>
      </w:r>
      <w:r>
        <w:rPr>
          <w:spacing w:val="-3"/>
          <w:sz w:val="20"/>
        </w:rPr>
        <w:t> </w:t>
      </w:r>
      <w:r>
        <w:rPr>
          <w:sz w:val="20"/>
        </w:rPr>
        <w:t>challenges</w:t>
      </w:r>
      <w:r>
        <w:rPr>
          <w:spacing w:val="-3"/>
          <w:sz w:val="20"/>
        </w:rPr>
        <w:t> </w:t>
      </w:r>
      <w:r>
        <w:rPr>
          <w:sz w:val="20"/>
        </w:rPr>
        <w:t>of</w:t>
      </w:r>
      <w:r>
        <w:rPr>
          <w:spacing w:val="-3"/>
          <w:sz w:val="20"/>
        </w:rPr>
        <w:t> </w:t>
      </w:r>
      <w:r>
        <w:rPr>
          <w:sz w:val="20"/>
        </w:rPr>
        <w:t>transitioning</w:t>
      </w:r>
      <w:r>
        <w:rPr>
          <w:spacing w:val="-3"/>
          <w:sz w:val="20"/>
        </w:rPr>
        <w:t> </w:t>
      </w:r>
      <w:r>
        <w:rPr>
          <w:sz w:val="20"/>
        </w:rPr>
        <w:t>from peace</w:t>
      </w:r>
      <w:r>
        <w:rPr>
          <w:spacing w:val="-6"/>
          <w:sz w:val="20"/>
        </w:rPr>
        <w:t> </w:t>
      </w:r>
      <w:r>
        <w:rPr>
          <w:sz w:val="20"/>
        </w:rPr>
        <w:t>settlements</w:t>
      </w:r>
      <w:r>
        <w:rPr>
          <w:spacing w:val="-5"/>
          <w:sz w:val="20"/>
        </w:rPr>
        <w:t> </w:t>
      </w:r>
      <w:r>
        <w:rPr>
          <w:sz w:val="20"/>
        </w:rPr>
        <w:t>to</w:t>
      </w:r>
      <w:r>
        <w:rPr>
          <w:spacing w:val="-5"/>
          <w:sz w:val="20"/>
        </w:rPr>
        <w:t> </w:t>
      </w:r>
      <w:r>
        <w:rPr>
          <w:sz w:val="20"/>
        </w:rPr>
        <w:t>long-term</w:t>
      </w:r>
      <w:r>
        <w:rPr>
          <w:spacing w:val="-5"/>
          <w:sz w:val="20"/>
        </w:rPr>
        <w:t> </w:t>
      </w:r>
      <w:r>
        <w:rPr>
          <w:sz w:val="20"/>
        </w:rPr>
        <w:t>peace.</w:t>
      </w:r>
      <w:r>
        <w:rPr>
          <w:spacing w:val="8"/>
          <w:sz w:val="20"/>
        </w:rPr>
        <w:t> </w:t>
      </w:r>
      <w:r>
        <w:rPr>
          <w:rFonts w:ascii="Bookman Old Style"/>
          <w:b w:val="0"/>
          <w:i/>
          <w:sz w:val="20"/>
        </w:rPr>
        <w:t>SAGE</w:t>
      </w:r>
      <w:r>
        <w:rPr>
          <w:rFonts w:ascii="Bookman Old Style"/>
          <w:b w:val="0"/>
          <w:i/>
          <w:spacing w:val="-14"/>
          <w:sz w:val="20"/>
        </w:rPr>
        <w:t> </w:t>
      </w:r>
      <w:r>
        <w:rPr>
          <w:rFonts w:ascii="Bookman Old Style"/>
          <w:b w:val="0"/>
          <w:i/>
          <w:sz w:val="20"/>
        </w:rPr>
        <w:t>Open</w:t>
      </w:r>
      <w:r>
        <w:rPr>
          <w:sz w:val="20"/>
        </w:rPr>
        <w:t>,</w:t>
      </w:r>
      <w:r>
        <w:rPr>
          <w:spacing w:val="-5"/>
          <w:sz w:val="20"/>
        </w:rPr>
        <w:t> </w:t>
      </w:r>
      <w:r>
        <w:rPr>
          <w:sz w:val="20"/>
        </w:rPr>
        <w:t>6(2),</w:t>
      </w:r>
      <w:r>
        <w:rPr>
          <w:spacing w:val="-5"/>
          <w:sz w:val="20"/>
        </w:rPr>
        <w:t> </w:t>
      </w:r>
      <w:r>
        <w:rPr>
          <w:sz w:val="20"/>
        </w:rPr>
        <w:t>p.2158244016654522.</w:t>
      </w:r>
    </w:p>
    <w:p>
      <w:pPr>
        <w:pStyle w:val="ListParagraph"/>
        <w:numPr>
          <w:ilvl w:val="0"/>
          <w:numId w:val="2"/>
        </w:numPr>
        <w:tabs>
          <w:tab w:pos="779" w:val="left" w:leader="none"/>
        </w:tabs>
        <w:spacing w:line="240" w:lineRule="auto" w:before="2" w:after="0"/>
        <w:ind w:left="778" w:right="0" w:hanging="343"/>
        <w:jc w:val="both"/>
        <w:rPr>
          <w:sz w:val="20"/>
        </w:rPr>
      </w:pPr>
      <w:r>
        <w:rPr>
          <w:sz w:val="20"/>
        </w:rPr>
        <w:t>Okada,</w:t>
      </w:r>
      <w:r>
        <w:rPr>
          <w:spacing w:val="-5"/>
          <w:sz w:val="20"/>
        </w:rPr>
        <w:t> </w:t>
      </w:r>
      <w:r>
        <w:rPr>
          <w:sz w:val="20"/>
        </w:rPr>
        <w:t>K.</w:t>
      </w:r>
      <w:r>
        <w:rPr>
          <w:spacing w:val="-4"/>
          <w:sz w:val="20"/>
        </w:rPr>
        <w:t> </w:t>
      </w:r>
      <w:r>
        <w:rPr>
          <w:sz w:val="20"/>
        </w:rPr>
        <w:t>and</w:t>
      </w:r>
      <w:r>
        <w:rPr>
          <w:spacing w:val="-5"/>
          <w:sz w:val="20"/>
        </w:rPr>
        <w:t> </w:t>
      </w:r>
      <w:r>
        <w:rPr>
          <w:sz w:val="20"/>
        </w:rPr>
        <w:t>Samreth,</w:t>
      </w:r>
      <w:r>
        <w:rPr>
          <w:spacing w:val="-4"/>
          <w:sz w:val="20"/>
        </w:rPr>
        <w:t> </w:t>
      </w:r>
      <w:r>
        <w:rPr>
          <w:sz w:val="20"/>
        </w:rPr>
        <w:t>S.,</w:t>
      </w:r>
      <w:r>
        <w:rPr>
          <w:spacing w:val="-5"/>
          <w:sz w:val="20"/>
        </w:rPr>
        <w:t> </w:t>
      </w:r>
      <w:r>
        <w:rPr>
          <w:sz w:val="20"/>
        </w:rPr>
        <w:t>2021.</w:t>
      </w:r>
      <w:r>
        <w:rPr>
          <w:spacing w:val="12"/>
          <w:sz w:val="20"/>
        </w:rPr>
        <w:t> </w:t>
      </w:r>
      <w:r>
        <w:rPr>
          <w:sz w:val="20"/>
        </w:rPr>
        <w:t>Oil</w:t>
      </w:r>
      <w:r>
        <w:rPr>
          <w:spacing w:val="-4"/>
          <w:sz w:val="20"/>
        </w:rPr>
        <w:t> </w:t>
      </w:r>
      <w:r>
        <w:rPr>
          <w:sz w:val="20"/>
        </w:rPr>
        <w:t>bonanza</w:t>
      </w:r>
      <w:r>
        <w:rPr>
          <w:spacing w:val="-4"/>
          <w:sz w:val="20"/>
        </w:rPr>
        <w:t> </w:t>
      </w:r>
      <w:r>
        <w:rPr>
          <w:sz w:val="20"/>
        </w:rPr>
        <w:t>and</w:t>
      </w:r>
      <w:r>
        <w:rPr>
          <w:spacing w:val="-5"/>
          <w:sz w:val="20"/>
        </w:rPr>
        <w:t> </w:t>
      </w:r>
      <w:r>
        <w:rPr>
          <w:sz w:val="20"/>
        </w:rPr>
        <w:t>the</w:t>
      </w:r>
      <w:r>
        <w:rPr>
          <w:spacing w:val="-5"/>
          <w:sz w:val="20"/>
        </w:rPr>
        <w:t> </w:t>
      </w:r>
      <w:r>
        <w:rPr>
          <w:sz w:val="20"/>
        </w:rPr>
        <w:t>composition</w:t>
      </w:r>
      <w:r>
        <w:rPr>
          <w:spacing w:val="-4"/>
          <w:sz w:val="20"/>
        </w:rPr>
        <w:t> </w:t>
      </w:r>
      <w:r>
        <w:rPr>
          <w:sz w:val="20"/>
        </w:rPr>
        <w:t>of</w:t>
      </w:r>
      <w:r>
        <w:rPr>
          <w:spacing w:val="-5"/>
          <w:sz w:val="20"/>
        </w:rPr>
        <w:t> </w:t>
      </w:r>
      <w:r>
        <w:rPr>
          <w:sz w:val="20"/>
        </w:rPr>
        <w:t>government</w:t>
      </w:r>
      <w:r>
        <w:rPr>
          <w:spacing w:val="-4"/>
          <w:sz w:val="20"/>
        </w:rPr>
        <w:t> </w:t>
      </w:r>
      <w:r>
        <w:rPr>
          <w:spacing w:val="-2"/>
          <w:sz w:val="20"/>
        </w:rPr>
        <w:t>expenditure.</w:t>
      </w:r>
    </w:p>
    <w:p>
      <w:pPr>
        <w:spacing w:before="67"/>
        <w:ind w:left="137" w:right="0" w:firstLine="0"/>
        <w:jc w:val="left"/>
        <w:rPr>
          <w:sz w:val="20"/>
        </w:rPr>
      </w:pPr>
      <w:r>
        <w:rPr>
          <w:rFonts w:ascii="Bookman Old Style"/>
          <w:b w:val="0"/>
          <w:i/>
          <w:spacing w:val="-6"/>
          <w:sz w:val="20"/>
        </w:rPr>
        <w:t>Economics of Governance</w:t>
      </w:r>
      <w:r>
        <w:rPr>
          <w:spacing w:val="-6"/>
          <w:sz w:val="20"/>
        </w:rPr>
        <w:t>,</w:t>
      </w:r>
      <w:r>
        <w:rPr>
          <w:spacing w:val="2"/>
          <w:sz w:val="20"/>
        </w:rPr>
        <w:t> </w:t>
      </w:r>
      <w:r>
        <w:rPr>
          <w:spacing w:val="-6"/>
          <w:sz w:val="20"/>
        </w:rPr>
        <w:t>22(1),</w:t>
      </w:r>
      <w:r>
        <w:rPr>
          <w:spacing w:val="2"/>
          <w:sz w:val="20"/>
        </w:rPr>
        <w:t> </w:t>
      </w:r>
      <w:r>
        <w:rPr>
          <w:spacing w:val="-6"/>
          <w:sz w:val="20"/>
        </w:rPr>
        <w:t>pp.23-46.</w:t>
      </w:r>
    </w:p>
    <w:p>
      <w:pPr>
        <w:pStyle w:val="ListParagraph"/>
        <w:numPr>
          <w:ilvl w:val="0"/>
          <w:numId w:val="2"/>
        </w:numPr>
        <w:tabs>
          <w:tab w:pos="782" w:val="left" w:leader="none"/>
        </w:tabs>
        <w:spacing w:line="309" w:lineRule="auto" w:before="69" w:after="0"/>
        <w:ind w:left="137" w:right="1796" w:firstLine="298"/>
        <w:jc w:val="left"/>
        <w:rPr>
          <w:sz w:val="20"/>
        </w:rPr>
      </w:pPr>
      <w:r>
        <w:rPr>
          <w:sz w:val="20"/>
        </w:rPr>
        <w:t>Perlo-Freeman,</w:t>
      </w:r>
      <w:r>
        <w:rPr>
          <w:spacing w:val="-5"/>
          <w:sz w:val="20"/>
        </w:rPr>
        <w:t> </w:t>
      </w:r>
      <w:r>
        <w:rPr>
          <w:sz w:val="20"/>
        </w:rPr>
        <w:t>S.</w:t>
      </w:r>
      <w:r>
        <w:rPr>
          <w:spacing w:val="-5"/>
          <w:sz w:val="20"/>
        </w:rPr>
        <w:t> </w:t>
      </w:r>
      <w:r>
        <w:rPr>
          <w:sz w:val="20"/>
        </w:rPr>
        <w:t>and</w:t>
      </w:r>
      <w:r>
        <w:rPr>
          <w:spacing w:val="-5"/>
          <w:sz w:val="20"/>
        </w:rPr>
        <w:t> </w:t>
      </w:r>
      <w:r>
        <w:rPr>
          <w:sz w:val="20"/>
        </w:rPr>
        <w:t>Brauner,</w:t>
      </w:r>
      <w:r>
        <w:rPr>
          <w:spacing w:val="-5"/>
          <w:sz w:val="20"/>
        </w:rPr>
        <w:t> </w:t>
      </w:r>
      <w:r>
        <w:rPr>
          <w:sz w:val="20"/>
        </w:rPr>
        <w:t>J.,</w:t>
      </w:r>
      <w:r>
        <w:rPr>
          <w:spacing w:val="-4"/>
          <w:sz w:val="20"/>
        </w:rPr>
        <w:t> </w:t>
      </w:r>
      <w:r>
        <w:rPr>
          <w:sz w:val="20"/>
        </w:rPr>
        <w:t>2012.</w:t>
      </w:r>
      <w:r>
        <w:rPr>
          <w:spacing w:val="9"/>
          <w:sz w:val="20"/>
        </w:rPr>
        <w:t> </w:t>
      </w:r>
      <w:r>
        <w:rPr>
          <w:sz w:val="20"/>
        </w:rPr>
        <w:t>Natural</w:t>
      </w:r>
      <w:r>
        <w:rPr>
          <w:spacing w:val="-5"/>
          <w:sz w:val="20"/>
        </w:rPr>
        <w:t> </w:t>
      </w:r>
      <w:r>
        <w:rPr>
          <w:sz w:val="20"/>
        </w:rPr>
        <w:t>resources</w:t>
      </w:r>
      <w:r>
        <w:rPr>
          <w:spacing w:val="-4"/>
          <w:sz w:val="20"/>
        </w:rPr>
        <w:t> </w:t>
      </w:r>
      <w:r>
        <w:rPr>
          <w:sz w:val="20"/>
        </w:rPr>
        <w:t>and</w:t>
      </w:r>
      <w:r>
        <w:rPr>
          <w:spacing w:val="-6"/>
          <w:sz w:val="20"/>
        </w:rPr>
        <w:t> </w:t>
      </w:r>
      <w:r>
        <w:rPr>
          <w:sz w:val="20"/>
        </w:rPr>
        <w:t>military</w:t>
      </w:r>
      <w:r>
        <w:rPr>
          <w:spacing w:val="-5"/>
          <w:sz w:val="20"/>
        </w:rPr>
        <w:t> </w:t>
      </w:r>
      <w:r>
        <w:rPr>
          <w:sz w:val="20"/>
        </w:rPr>
        <w:t>expenditure:</w:t>
      </w:r>
      <w:r>
        <w:rPr>
          <w:spacing w:val="10"/>
          <w:sz w:val="20"/>
        </w:rPr>
        <w:t> </w:t>
      </w:r>
      <w:r>
        <w:rPr>
          <w:sz w:val="20"/>
        </w:rPr>
        <w:t>The</w:t>
      </w:r>
      <w:r>
        <w:rPr>
          <w:spacing w:val="-5"/>
          <w:sz w:val="20"/>
        </w:rPr>
        <w:t> </w:t>
      </w:r>
      <w:r>
        <w:rPr>
          <w:sz w:val="20"/>
        </w:rPr>
        <w:t>case of</w:t>
      </w:r>
      <w:r>
        <w:rPr>
          <w:spacing w:val="-5"/>
          <w:sz w:val="20"/>
        </w:rPr>
        <w:t> </w:t>
      </w:r>
      <w:r>
        <w:rPr>
          <w:sz w:val="20"/>
        </w:rPr>
        <w:t>Algeria.</w:t>
      </w:r>
      <w:r>
        <w:rPr>
          <w:spacing w:val="10"/>
          <w:sz w:val="20"/>
        </w:rPr>
        <w:t> </w:t>
      </w:r>
      <w:r>
        <w:rPr>
          <w:rFonts w:ascii="Bookman Old Style"/>
          <w:b w:val="0"/>
          <w:i/>
          <w:sz w:val="20"/>
        </w:rPr>
        <w:t>The</w:t>
      </w:r>
      <w:r>
        <w:rPr>
          <w:rFonts w:ascii="Bookman Old Style"/>
          <w:b w:val="0"/>
          <w:i/>
          <w:spacing w:val="-14"/>
          <w:sz w:val="20"/>
        </w:rPr>
        <w:t> </w:t>
      </w:r>
      <w:r>
        <w:rPr>
          <w:rFonts w:ascii="Bookman Old Style"/>
          <w:b w:val="0"/>
          <w:i/>
          <w:sz w:val="20"/>
        </w:rPr>
        <w:t>Economics</w:t>
      </w:r>
      <w:r>
        <w:rPr>
          <w:rFonts w:ascii="Bookman Old Style"/>
          <w:b w:val="0"/>
          <w:i/>
          <w:spacing w:val="-13"/>
          <w:sz w:val="20"/>
        </w:rPr>
        <w:t> </w:t>
      </w:r>
      <w:r>
        <w:rPr>
          <w:rFonts w:ascii="Bookman Old Style"/>
          <w:b w:val="0"/>
          <w:i/>
          <w:sz w:val="20"/>
        </w:rPr>
        <w:t>of</w:t>
      </w:r>
      <w:r>
        <w:rPr>
          <w:rFonts w:ascii="Bookman Old Style"/>
          <w:b w:val="0"/>
          <w:i/>
          <w:spacing w:val="-14"/>
          <w:sz w:val="20"/>
        </w:rPr>
        <w:t> </w:t>
      </w:r>
      <w:r>
        <w:rPr>
          <w:rFonts w:ascii="Bookman Old Style"/>
          <w:b w:val="0"/>
          <w:i/>
          <w:sz w:val="20"/>
        </w:rPr>
        <w:t>Peace</w:t>
      </w:r>
      <w:r>
        <w:rPr>
          <w:rFonts w:ascii="Bookman Old Style"/>
          <w:b w:val="0"/>
          <w:i/>
          <w:spacing w:val="-13"/>
          <w:sz w:val="20"/>
        </w:rPr>
        <w:t> </w:t>
      </w:r>
      <w:r>
        <w:rPr>
          <w:rFonts w:ascii="Bookman Old Style"/>
          <w:b w:val="0"/>
          <w:i/>
          <w:sz w:val="20"/>
        </w:rPr>
        <w:t>and</w:t>
      </w:r>
      <w:r>
        <w:rPr>
          <w:rFonts w:ascii="Bookman Old Style"/>
          <w:b w:val="0"/>
          <w:i/>
          <w:spacing w:val="-14"/>
          <w:sz w:val="20"/>
        </w:rPr>
        <w:t> </w:t>
      </w:r>
      <w:r>
        <w:rPr>
          <w:rFonts w:ascii="Bookman Old Style"/>
          <w:b w:val="0"/>
          <w:i/>
          <w:sz w:val="20"/>
        </w:rPr>
        <w:t>Security</w:t>
      </w:r>
      <w:r>
        <w:rPr>
          <w:rFonts w:ascii="Bookman Old Style"/>
          <w:b w:val="0"/>
          <w:i/>
          <w:spacing w:val="-13"/>
          <w:sz w:val="20"/>
        </w:rPr>
        <w:t> </w:t>
      </w:r>
      <w:r>
        <w:rPr>
          <w:rFonts w:ascii="Bookman Old Style"/>
          <w:b w:val="0"/>
          <w:i/>
          <w:sz w:val="20"/>
        </w:rPr>
        <w:t>Journal</w:t>
      </w:r>
      <w:r>
        <w:rPr>
          <w:sz w:val="20"/>
        </w:rPr>
        <w:t>,</w:t>
      </w:r>
      <w:r>
        <w:rPr>
          <w:spacing w:val="-5"/>
          <w:sz w:val="20"/>
        </w:rPr>
        <w:t> </w:t>
      </w:r>
      <w:r>
        <w:rPr>
          <w:sz w:val="20"/>
        </w:rPr>
        <w:t>7(1).</w:t>
      </w:r>
    </w:p>
    <w:p>
      <w:pPr>
        <w:pStyle w:val="ListParagraph"/>
        <w:numPr>
          <w:ilvl w:val="0"/>
          <w:numId w:val="2"/>
        </w:numPr>
        <w:tabs>
          <w:tab w:pos="859" w:val="left" w:leader="none"/>
        </w:tabs>
        <w:spacing w:line="316" w:lineRule="auto" w:before="1" w:after="0"/>
        <w:ind w:left="137" w:right="1794" w:firstLine="298"/>
        <w:jc w:val="left"/>
        <w:rPr>
          <w:sz w:val="20"/>
        </w:rPr>
      </w:pPr>
      <w:r>
        <w:rPr>
          <w:sz w:val="20"/>
        </w:rPr>
        <w:t>Ray,</w:t>
      </w:r>
      <w:r>
        <w:rPr>
          <w:spacing w:val="34"/>
          <w:sz w:val="20"/>
        </w:rPr>
        <w:t> </w:t>
      </w:r>
      <w:r>
        <w:rPr>
          <w:sz w:val="20"/>
        </w:rPr>
        <w:t>D.,</w:t>
      </w:r>
      <w:r>
        <w:rPr>
          <w:spacing w:val="80"/>
          <w:w w:val="150"/>
          <w:sz w:val="20"/>
        </w:rPr>
        <w:t> </w:t>
      </w:r>
      <w:r>
        <w:rPr>
          <w:sz w:val="20"/>
        </w:rPr>
        <w:t>Esteban,</w:t>
      </w:r>
      <w:r>
        <w:rPr>
          <w:spacing w:val="33"/>
          <w:sz w:val="20"/>
        </w:rPr>
        <w:t> </w:t>
      </w:r>
      <w:r>
        <w:rPr>
          <w:sz w:val="20"/>
        </w:rPr>
        <w:t>J.</w:t>
      </w:r>
      <w:r>
        <w:rPr>
          <w:spacing w:val="28"/>
          <w:sz w:val="20"/>
        </w:rPr>
        <w:t> </w:t>
      </w:r>
      <w:r>
        <w:rPr>
          <w:sz w:val="20"/>
        </w:rPr>
        <w:t>(2017).</w:t>
      </w:r>
      <w:r>
        <w:rPr>
          <w:spacing w:val="80"/>
          <w:sz w:val="20"/>
        </w:rPr>
        <w:t> </w:t>
      </w:r>
      <w:r>
        <w:rPr>
          <w:sz w:val="20"/>
        </w:rPr>
        <w:t>Conflict</w:t>
      </w:r>
      <w:r>
        <w:rPr>
          <w:spacing w:val="28"/>
          <w:sz w:val="20"/>
        </w:rPr>
        <w:t> </w:t>
      </w:r>
      <w:r>
        <w:rPr>
          <w:sz w:val="20"/>
        </w:rPr>
        <w:t>and</w:t>
      </w:r>
      <w:r>
        <w:rPr>
          <w:spacing w:val="28"/>
          <w:sz w:val="20"/>
        </w:rPr>
        <w:t> </w:t>
      </w:r>
      <w:r>
        <w:rPr>
          <w:sz w:val="20"/>
        </w:rPr>
        <w:t>development.</w:t>
      </w:r>
      <w:r>
        <w:rPr>
          <w:spacing w:val="80"/>
          <w:sz w:val="20"/>
        </w:rPr>
        <w:t> </w:t>
      </w:r>
      <w:r>
        <w:rPr>
          <w:sz w:val="20"/>
        </w:rPr>
        <w:t>Annual</w:t>
      </w:r>
      <w:r>
        <w:rPr>
          <w:spacing w:val="28"/>
          <w:sz w:val="20"/>
        </w:rPr>
        <w:t> </w:t>
      </w:r>
      <w:r>
        <w:rPr>
          <w:sz w:val="20"/>
        </w:rPr>
        <w:t>Review</w:t>
      </w:r>
      <w:r>
        <w:rPr>
          <w:spacing w:val="28"/>
          <w:sz w:val="20"/>
        </w:rPr>
        <w:t> </w:t>
      </w:r>
      <w:r>
        <w:rPr>
          <w:sz w:val="20"/>
        </w:rPr>
        <w:t>of</w:t>
      </w:r>
      <w:r>
        <w:rPr>
          <w:spacing w:val="28"/>
          <w:sz w:val="20"/>
        </w:rPr>
        <w:t> </w:t>
      </w:r>
      <w:r>
        <w:rPr>
          <w:sz w:val="20"/>
        </w:rPr>
        <w:t>Economics,</w:t>
      </w:r>
      <w:r>
        <w:rPr>
          <w:spacing w:val="34"/>
          <w:sz w:val="20"/>
        </w:rPr>
        <w:t> </w:t>
      </w:r>
      <w:r>
        <w:rPr>
          <w:sz w:val="20"/>
        </w:rPr>
        <w:t>9, </w:t>
      </w:r>
      <w:r>
        <w:rPr>
          <w:spacing w:val="-2"/>
          <w:sz w:val="20"/>
        </w:rPr>
        <w:t>263-293.</w:t>
      </w:r>
    </w:p>
    <w:p>
      <w:pPr>
        <w:pStyle w:val="BodyText"/>
        <w:spacing w:line="316" w:lineRule="auto"/>
        <w:ind w:left="137" w:right="1789" w:firstLine="298"/>
      </w:pPr>
      <w:r>
        <w:rPr/>
        <w:t>52.</w:t>
      </w:r>
      <w:r>
        <w:rPr>
          <w:spacing w:val="40"/>
        </w:rPr>
        <w:t> </w:t>
      </w:r>
      <w:r>
        <w:rPr/>
        <w:t>Roessler,</w:t>
      </w:r>
      <w:r>
        <w:rPr>
          <w:spacing w:val="13"/>
        </w:rPr>
        <w:t> </w:t>
      </w:r>
      <w:r>
        <w:rPr/>
        <w:t>P.</w:t>
      </w:r>
      <w:r>
        <w:rPr>
          <w:spacing w:val="11"/>
        </w:rPr>
        <w:t> </w:t>
      </w:r>
      <w:r>
        <w:rPr/>
        <w:t>(2016).</w:t>
      </w:r>
      <w:r>
        <w:rPr>
          <w:spacing w:val="40"/>
        </w:rPr>
        <w:t> </w:t>
      </w:r>
      <w:r>
        <w:rPr/>
        <w:t>Ethnic</w:t>
      </w:r>
      <w:r>
        <w:rPr>
          <w:spacing w:val="11"/>
        </w:rPr>
        <w:t> </w:t>
      </w:r>
      <w:r>
        <w:rPr/>
        <w:t>politics</w:t>
      </w:r>
      <w:r>
        <w:rPr>
          <w:spacing w:val="11"/>
        </w:rPr>
        <w:t> </w:t>
      </w:r>
      <w:r>
        <w:rPr/>
        <w:t>and</w:t>
      </w:r>
      <w:r>
        <w:rPr>
          <w:spacing w:val="11"/>
        </w:rPr>
        <w:t> </w:t>
      </w:r>
      <w:r>
        <w:rPr/>
        <w:t>state</w:t>
      </w:r>
      <w:r>
        <w:rPr>
          <w:spacing w:val="11"/>
        </w:rPr>
        <w:t> </w:t>
      </w:r>
      <w:r>
        <w:rPr/>
        <w:t>power</w:t>
      </w:r>
      <w:r>
        <w:rPr>
          <w:spacing w:val="11"/>
        </w:rPr>
        <w:t> </w:t>
      </w:r>
      <w:r>
        <w:rPr/>
        <w:t>in</w:t>
      </w:r>
      <w:r>
        <w:rPr>
          <w:spacing w:val="11"/>
        </w:rPr>
        <w:t> </w:t>
      </w:r>
      <w:r>
        <w:rPr/>
        <w:t>Africa:</w:t>
      </w:r>
      <w:r>
        <w:rPr>
          <w:spacing w:val="36"/>
        </w:rPr>
        <w:t> </w:t>
      </w:r>
      <w:r>
        <w:rPr/>
        <w:t>The</w:t>
      </w:r>
      <w:r>
        <w:rPr>
          <w:spacing w:val="11"/>
        </w:rPr>
        <w:t> </w:t>
      </w:r>
      <w:r>
        <w:rPr/>
        <w:t>logic</w:t>
      </w:r>
      <w:r>
        <w:rPr>
          <w:spacing w:val="11"/>
        </w:rPr>
        <w:t> </w:t>
      </w:r>
      <w:r>
        <w:rPr/>
        <w:t>of</w:t>
      </w:r>
      <w:r>
        <w:rPr>
          <w:spacing w:val="11"/>
        </w:rPr>
        <w:t> </w:t>
      </w:r>
      <w:r>
        <w:rPr/>
        <w:t>the</w:t>
      </w:r>
      <w:r>
        <w:rPr>
          <w:spacing w:val="11"/>
        </w:rPr>
        <w:t> </w:t>
      </w:r>
      <w:r>
        <w:rPr/>
        <w:t>coup-civil</w:t>
      </w:r>
      <w:r>
        <w:rPr>
          <w:spacing w:val="11"/>
        </w:rPr>
        <w:t> </w:t>
      </w:r>
      <w:r>
        <w:rPr/>
        <w:t>war trap.</w:t>
      </w:r>
      <w:r>
        <w:rPr>
          <w:spacing w:val="40"/>
        </w:rPr>
        <w:t> </w:t>
      </w:r>
      <w:r>
        <w:rPr/>
        <w:t>Cambridge University Press.</w:t>
      </w:r>
    </w:p>
    <w:p>
      <w:pPr>
        <w:pStyle w:val="ListParagraph"/>
        <w:numPr>
          <w:ilvl w:val="0"/>
          <w:numId w:val="3"/>
        </w:numPr>
        <w:tabs>
          <w:tab w:pos="780" w:val="left" w:leader="none"/>
        </w:tabs>
        <w:spacing w:line="228" w:lineRule="exact" w:before="0" w:after="0"/>
        <w:ind w:left="779" w:right="0" w:hanging="344"/>
        <w:jc w:val="left"/>
        <w:rPr>
          <w:sz w:val="20"/>
        </w:rPr>
      </w:pPr>
      <w:r>
        <w:rPr>
          <w:spacing w:val="-2"/>
          <w:sz w:val="20"/>
        </w:rPr>
        <w:t>Ross,</w:t>
      </w:r>
      <w:r>
        <w:rPr>
          <w:spacing w:val="2"/>
          <w:sz w:val="20"/>
        </w:rPr>
        <w:t> </w:t>
      </w:r>
      <w:r>
        <w:rPr>
          <w:spacing w:val="-2"/>
          <w:sz w:val="20"/>
        </w:rPr>
        <w:t>M.L.,</w:t>
      </w:r>
      <w:r>
        <w:rPr>
          <w:spacing w:val="3"/>
          <w:sz w:val="20"/>
        </w:rPr>
        <w:t> </w:t>
      </w:r>
      <w:r>
        <w:rPr>
          <w:spacing w:val="-2"/>
          <w:sz w:val="20"/>
        </w:rPr>
        <w:t>2008.</w:t>
      </w:r>
      <w:r>
        <w:rPr>
          <w:spacing w:val="20"/>
          <w:sz w:val="20"/>
        </w:rPr>
        <w:t> </w:t>
      </w:r>
      <w:r>
        <w:rPr>
          <w:spacing w:val="-2"/>
          <w:sz w:val="20"/>
        </w:rPr>
        <w:t>Blood</w:t>
      </w:r>
      <w:r>
        <w:rPr>
          <w:spacing w:val="2"/>
          <w:sz w:val="20"/>
        </w:rPr>
        <w:t> </w:t>
      </w:r>
      <w:r>
        <w:rPr>
          <w:spacing w:val="-2"/>
          <w:sz w:val="20"/>
        </w:rPr>
        <w:t>barrels-Why</w:t>
      </w:r>
      <w:r>
        <w:rPr>
          <w:spacing w:val="3"/>
          <w:sz w:val="20"/>
        </w:rPr>
        <w:t> </w:t>
      </w:r>
      <w:r>
        <w:rPr>
          <w:spacing w:val="-2"/>
          <w:sz w:val="20"/>
        </w:rPr>
        <w:t>oil</w:t>
      </w:r>
      <w:r>
        <w:rPr>
          <w:spacing w:val="3"/>
          <w:sz w:val="20"/>
        </w:rPr>
        <w:t> </w:t>
      </w:r>
      <w:r>
        <w:rPr>
          <w:spacing w:val="-2"/>
          <w:sz w:val="20"/>
        </w:rPr>
        <w:t>wealth</w:t>
      </w:r>
      <w:r>
        <w:rPr>
          <w:spacing w:val="2"/>
          <w:sz w:val="20"/>
        </w:rPr>
        <w:t> </w:t>
      </w:r>
      <w:r>
        <w:rPr>
          <w:spacing w:val="-2"/>
          <w:sz w:val="20"/>
        </w:rPr>
        <w:t>fuels</w:t>
      </w:r>
      <w:r>
        <w:rPr>
          <w:spacing w:val="3"/>
          <w:sz w:val="20"/>
        </w:rPr>
        <w:t> </w:t>
      </w:r>
      <w:r>
        <w:rPr>
          <w:spacing w:val="-2"/>
          <w:sz w:val="20"/>
        </w:rPr>
        <w:t>conflict.</w:t>
      </w:r>
      <w:r>
        <w:rPr>
          <w:spacing w:val="21"/>
          <w:sz w:val="20"/>
        </w:rPr>
        <w:t> </w:t>
      </w:r>
      <w:r>
        <w:rPr>
          <w:rFonts w:ascii="Bookman Old Style"/>
          <w:b w:val="0"/>
          <w:i/>
          <w:spacing w:val="-2"/>
          <w:sz w:val="20"/>
        </w:rPr>
        <w:t>Foreign</w:t>
      </w:r>
      <w:r>
        <w:rPr>
          <w:rFonts w:ascii="Bookman Old Style"/>
          <w:b w:val="0"/>
          <w:i/>
          <w:spacing w:val="-6"/>
          <w:sz w:val="20"/>
        </w:rPr>
        <w:t> </w:t>
      </w:r>
      <w:r>
        <w:rPr>
          <w:rFonts w:ascii="Bookman Old Style"/>
          <w:b w:val="0"/>
          <w:i/>
          <w:spacing w:val="-2"/>
          <w:sz w:val="20"/>
        </w:rPr>
        <w:t>Aff.</w:t>
      </w:r>
      <w:r>
        <w:rPr>
          <w:spacing w:val="-2"/>
          <w:sz w:val="20"/>
        </w:rPr>
        <w:t>,</w:t>
      </w:r>
      <w:r>
        <w:rPr>
          <w:spacing w:val="3"/>
          <w:sz w:val="20"/>
        </w:rPr>
        <w:t> </w:t>
      </w:r>
      <w:r>
        <w:rPr>
          <w:spacing w:val="-2"/>
          <w:sz w:val="20"/>
        </w:rPr>
        <w:t>87,</w:t>
      </w:r>
      <w:r>
        <w:rPr>
          <w:spacing w:val="3"/>
          <w:sz w:val="20"/>
        </w:rPr>
        <w:t> </w:t>
      </w:r>
      <w:r>
        <w:rPr>
          <w:spacing w:val="-4"/>
          <w:sz w:val="20"/>
        </w:rPr>
        <w:t>p.2.</w:t>
      </w:r>
    </w:p>
    <w:p>
      <w:pPr>
        <w:pStyle w:val="ListParagraph"/>
        <w:numPr>
          <w:ilvl w:val="0"/>
          <w:numId w:val="3"/>
        </w:numPr>
        <w:tabs>
          <w:tab w:pos="780" w:val="left" w:leader="none"/>
        </w:tabs>
        <w:spacing w:line="240" w:lineRule="auto" w:before="62" w:after="0"/>
        <w:ind w:left="779" w:right="0" w:hanging="344"/>
        <w:jc w:val="left"/>
        <w:rPr>
          <w:sz w:val="20"/>
        </w:rPr>
      </w:pPr>
      <w:r>
        <w:rPr>
          <w:sz w:val="20"/>
        </w:rPr>
        <w:t>Ross,</w:t>
      </w:r>
      <w:r>
        <w:rPr>
          <w:spacing w:val="-1"/>
          <w:sz w:val="20"/>
        </w:rPr>
        <w:t> </w:t>
      </w:r>
      <w:r>
        <w:rPr>
          <w:sz w:val="20"/>
        </w:rPr>
        <w:t>M.L., 2012.</w:t>
      </w:r>
      <w:r>
        <w:rPr>
          <w:spacing w:val="16"/>
          <w:sz w:val="20"/>
        </w:rPr>
        <w:t> </w:t>
      </w:r>
      <w:r>
        <w:rPr>
          <w:sz w:val="20"/>
        </w:rPr>
        <w:t>The oil curse.</w:t>
      </w:r>
      <w:r>
        <w:rPr>
          <w:spacing w:val="16"/>
          <w:sz w:val="20"/>
        </w:rPr>
        <w:t> </w:t>
      </w:r>
      <w:r>
        <w:rPr>
          <w:sz w:val="20"/>
        </w:rPr>
        <w:t>In</w:t>
      </w:r>
      <w:r>
        <w:rPr>
          <w:spacing w:val="1"/>
          <w:sz w:val="20"/>
        </w:rPr>
        <w:t> </w:t>
      </w:r>
      <w:r>
        <w:rPr>
          <w:rFonts w:ascii="Bookman Old Style"/>
          <w:b w:val="0"/>
          <w:i/>
          <w:sz w:val="20"/>
        </w:rPr>
        <w:t>The</w:t>
      </w:r>
      <w:r>
        <w:rPr>
          <w:rFonts w:ascii="Bookman Old Style"/>
          <w:b w:val="0"/>
          <w:i/>
          <w:spacing w:val="-8"/>
          <w:sz w:val="20"/>
        </w:rPr>
        <w:t> </w:t>
      </w:r>
      <w:r>
        <w:rPr>
          <w:rFonts w:ascii="Bookman Old Style"/>
          <w:b w:val="0"/>
          <w:i/>
          <w:sz w:val="20"/>
        </w:rPr>
        <w:t>Oil</w:t>
      </w:r>
      <w:r>
        <w:rPr>
          <w:rFonts w:ascii="Bookman Old Style"/>
          <w:b w:val="0"/>
          <w:i/>
          <w:spacing w:val="-9"/>
          <w:sz w:val="20"/>
        </w:rPr>
        <w:t> </w:t>
      </w:r>
      <w:r>
        <w:rPr>
          <w:rFonts w:ascii="Bookman Old Style"/>
          <w:b w:val="0"/>
          <w:i/>
          <w:sz w:val="20"/>
        </w:rPr>
        <w:t>Curse</w:t>
      </w:r>
      <w:r>
        <w:rPr>
          <w:sz w:val="20"/>
        </w:rPr>
        <w:t>.</w:t>
      </w:r>
      <w:r>
        <w:rPr>
          <w:spacing w:val="16"/>
          <w:sz w:val="20"/>
        </w:rPr>
        <w:t> </w:t>
      </w:r>
      <w:r>
        <w:rPr>
          <w:sz w:val="20"/>
        </w:rPr>
        <w:t>Princeton University </w:t>
      </w:r>
      <w:r>
        <w:rPr>
          <w:spacing w:val="-2"/>
          <w:sz w:val="20"/>
        </w:rPr>
        <w:t>Press.</w:t>
      </w:r>
    </w:p>
    <w:p>
      <w:pPr>
        <w:pStyle w:val="ListParagraph"/>
        <w:numPr>
          <w:ilvl w:val="0"/>
          <w:numId w:val="3"/>
        </w:numPr>
        <w:tabs>
          <w:tab w:pos="862" w:val="left" w:leader="none"/>
        </w:tabs>
        <w:spacing w:line="309" w:lineRule="auto" w:before="69" w:after="0"/>
        <w:ind w:left="137" w:right="1795" w:firstLine="298"/>
        <w:jc w:val="left"/>
        <w:rPr>
          <w:sz w:val="20"/>
        </w:rPr>
      </w:pPr>
      <w:r>
        <w:rPr>
          <w:sz w:val="20"/>
        </w:rPr>
        <w:t>Snyder,</w:t>
      </w:r>
      <w:r>
        <w:rPr>
          <w:spacing w:val="28"/>
          <w:sz w:val="20"/>
        </w:rPr>
        <w:t> </w:t>
      </w:r>
      <w:r>
        <w:rPr>
          <w:sz w:val="20"/>
        </w:rPr>
        <w:t>R.,</w:t>
      </w:r>
      <w:r>
        <w:rPr>
          <w:spacing w:val="28"/>
          <w:sz w:val="20"/>
        </w:rPr>
        <w:t> </w:t>
      </w:r>
      <w:r>
        <w:rPr>
          <w:sz w:val="20"/>
        </w:rPr>
        <w:t>2006.</w:t>
      </w:r>
      <w:r>
        <w:rPr>
          <w:spacing w:val="80"/>
          <w:sz w:val="20"/>
        </w:rPr>
        <w:t> </w:t>
      </w:r>
      <w:r>
        <w:rPr>
          <w:sz w:val="20"/>
        </w:rPr>
        <w:t>Does</w:t>
      </w:r>
      <w:r>
        <w:rPr>
          <w:spacing w:val="23"/>
          <w:sz w:val="20"/>
        </w:rPr>
        <w:t> </w:t>
      </w:r>
      <w:r>
        <w:rPr>
          <w:sz w:val="20"/>
        </w:rPr>
        <w:t>lootable</w:t>
      </w:r>
      <w:r>
        <w:rPr>
          <w:spacing w:val="23"/>
          <w:sz w:val="20"/>
        </w:rPr>
        <w:t> </w:t>
      </w:r>
      <w:r>
        <w:rPr>
          <w:sz w:val="20"/>
        </w:rPr>
        <w:t>wealth</w:t>
      </w:r>
      <w:r>
        <w:rPr>
          <w:spacing w:val="23"/>
          <w:sz w:val="20"/>
        </w:rPr>
        <w:t> </w:t>
      </w:r>
      <w:r>
        <w:rPr>
          <w:sz w:val="20"/>
        </w:rPr>
        <w:t>breed</w:t>
      </w:r>
      <w:r>
        <w:rPr>
          <w:spacing w:val="23"/>
          <w:sz w:val="20"/>
        </w:rPr>
        <w:t> </w:t>
      </w:r>
      <w:r>
        <w:rPr>
          <w:sz w:val="20"/>
        </w:rPr>
        <w:t>disorder?</w:t>
      </w:r>
      <w:r>
        <w:rPr>
          <w:spacing w:val="80"/>
          <w:sz w:val="20"/>
        </w:rPr>
        <w:t> </w:t>
      </w:r>
      <w:r>
        <w:rPr>
          <w:sz w:val="20"/>
        </w:rPr>
        <w:t>A</w:t>
      </w:r>
      <w:r>
        <w:rPr>
          <w:spacing w:val="23"/>
          <w:sz w:val="20"/>
        </w:rPr>
        <w:t> </w:t>
      </w:r>
      <w:r>
        <w:rPr>
          <w:sz w:val="20"/>
        </w:rPr>
        <w:t>political</w:t>
      </w:r>
      <w:r>
        <w:rPr>
          <w:spacing w:val="23"/>
          <w:sz w:val="20"/>
        </w:rPr>
        <w:t> </w:t>
      </w:r>
      <w:r>
        <w:rPr>
          <w:sz w:val="20"/>
        </w:rPr>
        <w:t>economy</w:t>
      </w:r>
      <w:r>
        <w:rPr>
          <w:spacing w:val="23"/>
          <w:sz w:val="20"/>
        </w:rPr>
        <w:t> </w:t>
      </w:r>
      <w:r>
        <w:rPr>
          <w:sz w:val="20"/>
        </w:rPr>
        <w:t>of</w:t>
      </w:r>
      <w:r>
        <w:rPr>
          <w:spacing w:val="23"/>
          <w:sz w:val="20"/>
        </w:rPr>
        <w:t> </w:t>
      </w:r>
      <w:r>
        <w:rPr>
          <w:sz w:val="20"/>
        </w:rPr>
        <w:t>extraction </w:t>
      </w:r>
      <w:r>
        <w:rPr>
          <w:spacing w:val="-4"/>
          <w:sz w:val="20"/>
        </w:rPr>
        <w:t>framework.</w:t>
      </w:r>
      <w:r>
        <w:rPr>
          <w:spacing w:val="9"/>
          <w:sz w:val="20"/>
        </w:rPr>
        <w:t> </w:t>
      </w:r>
      <w:r>
        <w:rPr>
          <w:rFonts w:ascii="Bookman Old Style"/>
          <w:b w:val="0"/>
          <w:i/>
          <w:spacing w:val="-4"/>
          <w:sz w:val="20"/>
        </w:rPr>
        <w:t>Comparative</w:t>
      </w:r>
      <w:r>
        <w:rPr>
          <w:rFonts w:ascii="Bookman Old Style"/>
          <w:b w:val="0"/>
          <w:i/>
          <w:spacing w:val="-11"/>
          <w:sz w:val="20"/>
        </w:rPr>
        <w:t> </w:t>
      </w:r>
      <w:r>
        <w:rPr>
          <w:rFonts w:ascii="Bookman Old Style"/>
          <w:b w:val="0"/>
          <w:i/>
          <w:spacing w:val="-4"/>
          <w:sz w:val="20"/>
        </w:rPr>
        <w:t>political</w:t>
      </w:r>
      <w:r>
        <w:rPr>
          <w:rFonts w:ascii="Bookman Old Style"/>
          <w:b w:val="0"/>
          <w:i/>
          <w:spacing w:val="-11"/>
          <w:sz w:val="20"/>
        </w:rPr>
        <w:t> </w:t>
      </w:r>
      <w:r>
        <w:rPr>
          <w:rFonts w:ascii="Bookman Old Style"/>
          <w:b w:val="0"/>
          <w:i/>
          <w:spacing w:val="-4"/>
          <w:sz w:val="20"/>
        </w:rPr>
        <w:t>studies</w:t>
      </w:r>
      <w:r>
        <w:rPr>
          <w:spacing w:val="-4"/>
          <w:sz w:val="20"/>
        </w:rPr>
        <w:t>,</w:t>
      </w:r>
      <w:r>
        <w:rPr>
          <w:spacing w:val="-6"/>
          <w:sz w:val="20"/>
        </w:rPr>
        <w:t> </w:t>
      </w:r>
      <w:r>
        <w:rPr>
          <w:spacing w:val="-4"/>
          <w:sz w:val="20"/>
        </w:rPr>
        <w:t>39(8), pp.943-968.</w:t>
      </w:r>
    </w:p>
    <w:p>
      <w:pPr>
        <w:pStyle w:val="ListParagraph"/>
        <w:numPr>
          <w:ilvl w:val="0"/>
          <w:numId w:val="3"/>
        </w:numPr>
        <w:tabs>
          <w:tab w:pos="780" w:val="left" w:leader="none"/>
        </w:tabs>
        <w:spacing w:line="240" w:lineRule="auto" w:before="2" w:after="0"/>
        <w:ind w:left="779" w:right="0" w:hanging="344"/>
        <w:jc w:val="left"/>
        <w:rPr>
          <w:sz w:val="20"/>
        </w:rPr>
      </w:pPr>
      <w:r>
        <w:rPr>
          <w:spacing w:val="-2"/>
          <w:sz w:val="20"/>
        </w:rPr>
        <w:t>The</w:t>
      </w:r>
      <w:r>
        <w:rPr>
          <w:spacing w:val="3"/>
          <w:sz w:val="20"/>
        </w:rPr>
        <w:t> </w:t>
      </w:r>
      <w:r>
        <w:rPr>
          <w:spacing w:val="-2"/>
          <w:sz w:val="20"/>
        </w:rPr>
        <w:t>World</w:t>
      </w:r>
      <w:r>
        <w:rPr>
          <w:spacing w:val="3"/>
          <w:sz w:val="20"/>
        </w:rPr>
        <w:t> </w:t>
      </w:r>
      <w:r>
        <w:rPr>
          <w:spacing w:val="-2"/>
          <w:sz w:val="20"/>
        </w:rPr>
        <w:t>Bank,</w:t>
      </w:r>
      <w:r>
        <w:rPr>
          <w:spacing w:val="4"/>
          <w:sz w:val="20"/>
        </w:rPr>
        <w:t> </w:t>
      </w:r>
      <w:r>
        <w:rPr>
          <w:spacing w:val="-2"/>
          <w:sz w:val="20"/>
        </w:rPr>
        <w:t>World</w:t>
      </w:r>
      <w:r>
        <w:rPr>
          <w:spacing w:val="3"/>
          <w:sz w:val="20"/>
        </w:rPr>
        <w:t> </w:t>
      </w:r>
      <w:r>
        <w:rPr>
          <w:spacing w:val="-2"/>
          <w:sz w:val="20"/>
        </w:rPr>
        <w:t>Development</w:t>
      </w:r>
      <w:r>
        <w:rPr>
          <w:spacing w:val="4"/>
          <w:sz w:val="20"/>
        </w:rPr>
        <w:t> </w:t>
      </w:r>
      <w:r>
        <w:rPr>
          <w:spacing w:val="-2"/>
          <w:sz w:val="20"/>
        </w:rPr>
        <w:t>Indicators</w:t>
      </w:r>
      <w:r>
        <w:rPr>
          <w:spacing w:val="3"/>
          <w:sz w:val="20"/>
        </w:rPr>
        <w:t> </w:t>
      </w:r>
      <w:r>
        <w:rPr>
          <w:spacing w:val="-2"/>
          <w:sz w:val="20"/>
        </w:rPr>
        <w:t>(2020).</w:t>
      </w:r>
    </w:p>
    <w:p>
      <w:pPr>
        <w:pStyle w:val="ListParagraph"/>
        <w:numPr>
          <w:ilvl w:val="0"/>
          <w:numId w:val="3"/>
        </w:numPr>
        <w:tabs>
          <w:tab w:pos="865" w:val="left" w:leader="none"/>
        </w:tabs>
        <w:spacing w:line="304" w:lineRule="auto" w:before="67" w:after="0"/>
        <w:ind w:left="137" w:right="1794" w:firstLine="298"/>
        <w:jc w:val="left"/>
        <w:rPr>
          <w:sz w:val="20"/>
        </w:rPr>
      </w:pPr>
      <w:r>
        <w:rPr>
          <w:sz w:val="20"/>
        </w:rPr>
        <w:t>Tilly,</w:t>
      </w:r>
      <w:r>
        <w:rPr>
          <w:spacing w:val="28"/>
          <w:sz w:val="20"/>
        </w:rPr>
        <w:t> </w:t>
      </w:r>
      <w:r>
        <w:rPr>
          <w:sz w:val="20"/>
        </w:rPr>
        <w:t>C.,</w:t>
      </w:r>
      <w:r>
        <w:rPr>
          <w:spacing w:val="28"/>
          <w:sz w:val="20"/>
        </w:rPr>
        <w:t> </w:t>
      </w:r>
      <w:r>
        <w:rPr>
          <w:sz w:val="20"/>
        </w:rPr>
        <w:t>2017.</w:t>
      </w:r>
      <w:r>
        <w:rPr>
          <w:spacing w:val="80"/>
          <w:sz w:val="20"/>
        </w:rPr>
        <w:t> </w:t>
      </w:r>
      <w:r>
        <w:rPr>
          <w:sz w:val="20"/>
        </w:rPr>
        <w:t>War</w:t>
      </w:r>
      <w:r>
        <w:rPr>
          <w:spacing w:val="22"/>
          <w:sz w:val="20"/>
        </w:rPr>
        <w:t> </w:t>
      </w:r>
      <w:r>
        <w:rPr>
          <w:sz w:val="20"/>
        </w:rPr>
        <w:t>making</w:t>
      </w:r>
      <w:r>
        <w:rPr>
          <w:spacing w:val="22"/>
          <w:sz w:val="20"/>
        </w:rPr>
        <w:t> </w:t>
      </w:r>
      <w:r>
        <w:rPr>
          <w:sz w:val="20"/>
        </w:rPr>
        <w:t>and</w:t>
      </w:r>
      <w:r>
        <w:rPr>
          <w:spacing w:val="22"/>
          <w:sz w:val="20"/>
        </w:rPr>
        <w:t> </w:t>
      </w:r>
      <w:r>
        <w:rPr>
          <w:sz w:val="20"/>
        </w:rPr>
        <w:t>state</w:t>
      </w:r>
      <w:r>
        <w:rPr>
          <w:spacing w:val="22"/>
          <w:sz w:val="20"/>
        </w:rPr>
        <w:t> </w:t>
      </w:r>
      <w:r>
        <w:rPr>
          <w:sz w:val="20"/>
        </w:rPr>
        <w:t>making</w:t>
      </w:r>
      <w:r>
        <w:rPr>
          <w:spacing w:val="22"/>
          <w:sz w:val="20"/>
        </w:rPr>
        <w:t> </w:t>
      </w:r>
      <w:r>
        <w:rPr>
          <w:sz w:val="20"/>
        </w:rPr>
        <w:t>as</w:t>
      </w:r>
      <w:r>
        <w:rPr>
          <w:spacing w:val="22"/>
          <w:sz w:val="20"/>
        </w:rPr>
        <w:t> </w:t>
      </w:r>
      <w:r>
        <w:rPr>
          <w:sz w:val="20"/>
        </w:rPr>
        <w:t>organized</w:t>
      </w:r>
      <w:r>
        <w:rPr>
          <w:spacing w:val="22"/>
          <w:sz w:val="20"/>
        </w:rPr>
        <w:t> </w:t>
      </w:r>
      <w:r>
        <w:rPr>
          <w:sz w:val="20"/>
        </w:rPr>
        <w:t>crime.</w:t>
      </w:r>
      <w:r>
        <w:rPr>
          <w:spacing w:val="80"/>
          <w:sz w:val="20"/>
        </w:rPr>
        <w:t> </w:t>
      </w:r>
      <w:r>
        <w:rPr>
          <w:sz w:val="20"/>
        </w:rPr>
        <w:t>In</w:t>
      </w:r>
      <w:r>
        <w:rPr>
          <w:spacing w:val="26"/>
          <w:sz w:val="20"/>
        </w:rPr>
        <w:t> </w:t>
      </w:r>
      <w:r>
        <w:rPr>
          <w:rFonts w:ascii="Bookman Old Style"/>
          <w:b w:val="0"/>
          <w:i/>
          <w:sz w:val="20"/>
        </w:rPr>
        <w:t>Collective</w:t>
      </w:r>
      <w:r>
        <w:rPr>
          <w:rFonts w:ascii="Bookman Old Style"/>
          <w:b w:val="0"/>
          <w:i/>
          <w:spacing w:val="12"/>
          <w:sz w:val="20"/>
        </w:rPr>
        <w:t> </w:t>
      </w:r>
      <w:r>
        <w:rPr>
          <w:rFonts w:ascii="Bookman Old Style"/>
          <w:b w:val="0"/>
          <w:i/>
          <w:sz w:val="20"/>
        </w:rPr>
        <w:t>violence,</w:t>
      </w:r>
      <w:r>
        <w:rPr>
          <w:rFonts w:ascii="Bookman Old Style"/>
          <w:b w:val="0"/>
          <w:i/>
          <w:sz w:val="20"/>
        </w:rPr>
        <w:t> </w:t>
      </w:r>
      <w:r>
        <w:rPr>
          <w:rFonts w:ascii="Bookman Old Style"/>
          <w:b w:val="0"/>
          <w:i/>
          <w:spacing w:val="-2"/>
          <w:sz w:val="20"/>
        </w:rPr>
        <w:t>contentious</w:t>
      </w:r>
      <w:r>
        <w:rPr>
          <w:rFonts w:ascii="Bookman Old Style"/>
          <w:b w:val="0"/>
          <w:i/>
          <w:spacing w:val="-9"/>
          <w:sz w:val="20"/>
        </w:rPr>
        <w:t> </w:t>
      </w:r>
      <w:r>
        <w:rPr>
          <w:rFonts w:ascii="Bookman Old Style"/>
          <w:b w:val="0"/>
          <w:i/>
          <w:spacing w:val="-2"/>
          <w:sz w:val="20"/>
        </w:rPr>
        <w:t>politics,</w:t>
      </w:r>
      <w:r>
        <w:rPr>
          <w:rFonts w:ascii="Bookman Old Style"/>
          <w:b w:val="0"/>
          <w:i/>
          <w:spacing w:val="-9"/>
          <w:sz w:val="20"/>
        </w:rPr>
        <w:t> </w:t>
      </w:r>
      <w:r>
        <w:rPr>
          <w:rFonts w:ascii="Bookman Old Style"/>
          <w:b w:val="0"/>
          <w:i/>
          <w:spacing w:val="-2"/>
          <w:sz w:val="20"/>
        </w:rPr>
        <w:t>and</w:t>
      </w:r>
      <w:r>
        <w:rPr>
          <w:rFonts w:ascii="Bookman Old Style"/>
          <w:b w:val="0"/>
          <w:i/>
          <w:spacing w:val="-9"/>
          <w:sz w:val="20"/>
        </w:rPr>
        <w:t> </w:t>
      </w:r>
      <w:r>
        <w:rPr>
          <w:rFonts w:ascii="Bookman Old Style"/>
          <w:b w:val="0"/>
          <w:i/>
          <w:spacing w:val="-2"/>
          <w:sz w:val="20"/>
        </w:rPr>
        <w:t>social</w:t>
      </w:r>
      <w:r>
        <w:rPr>
          <w:rFonts w:ascii="Bookman Old Style"/>
          <w:b w:val="0"/>
          <w:i/>
          <w:spacing w:val="-9"/>
          <w:sz w:val="20"/>
        </w:rPr>
        <w:t> </w:t>
      </w:r>
      <w:r>
        <w:rPr>
          <w:rFonts w:ascii="Bookman Old Style"/>
          <w:b w:val="0"/>
          <w:i/>
          <w:spacing w:val="-2"/>
          <w:sz w:val="20"/>
        </w:rPr>
        <w:t>change </w:t>
      </w:r>
      <w:r>
        <w:rPr>
          <w:spacing w:val="-2"/>
          <w:sz w:val="20"/>
        </w:rPr>
        <w:t>(pp.</w:t>
      </w:r>
      <w:r>
        <w:rPr>
          <w:spacing w:val="15"/>
          <w:sz w:val="20"/>
        </w:rPr>
        <w:t> </w:t>
      </w:r>
      <w:r>
        <w:rPr>
          <w:spacing w:val="-2"/>
          <w:sz w:val="20"/>
        </w:rPr>
        <w:t>121-139).</w:t>
      </w:r>
      <w:r>
        <w:rPr>
          <w:spacing w:val="15"/>
          <w:sz w:val="20"/>
        </w:rPr>
        <w:t> </w:t>
      </w:r>
      <w:r>
        <w:rPr>
          <w:spacing w:val="-2"/>
          <w:sz w:val="20"/>
        </w:rPr>
        <w:t>Routledge.</w:t>
      </w:r>
    </w:p>
    <w:p>
      <w:pPr>
        <w:pStyle w:val="ListParagraph"/>
        <w:numPr>
          <w:ilvl w:val="0"/>
          <w:numId w:val="3"/>
        </w:numPr>
        <w:tabs>
          <w:tab w:pos="836" w:val="left" w:leader="none"/>
        </w:tabs>
        <w:spacing w:line="240" w:lineRule="auto" w:before="6" w:after="0"/>
        <w:ind w:left="835" w:right="0" w:hanging="400"/>
        <w:jc w:val="left"/>
        <w:rPr>
          <w:sz w:val="20"/>
        </w:rPr>
      </w:pPr>
      <w:r>
        <w:rPr>
          <w:sz w:val="20"/>
        </w:rPr>
        <w:t>U.S.</w:t>
      </w:r>
      <w:r>
        <w:rPr>
          <w:spacing w:val="13"/>
          <w:sz w:val="20"/>
        </w:rPr>
        <w:t> </w:t>
      </w:r>
      <w:r>
        <w:rPr>
          <w:sz w:val="20"/>
        </w:rPr>
        <w:t>Energy</w:t>
      </w:r>
      <w:r>
        <w:rPr>
          <w:spacing w:val="14"/>
          <w:sz w:val="20"/>
        </w:rPr>
        <w:t> </w:t>
      </w:r>
      <w:r>
        <w:rPr>
          <w:sz w:val="20"/>
        </w:rPr>
        <w:t>Information</w:t>
      </w:r>
      <w:r>
        <w:rPr>
          <w:spacing w:val="14"/>
          <w:sz w:val="20"/>
        </w:rPr>
        <w:t> </w:t>
      </w:r>
      <w:r>
        <w:rPr>
          <w:sz w:val="20"/>
        </w:rPr>
        <w:t>Administration,</w:t>
      </w:r>
      <w:r>
        <w:rPr>
          <w:spacing w:val="17"/>
          <w:sz w:val="20"/>
        </w:rPr>
        <w:t> </w:t>
      </w:r>
      <w:r>
        <w:rPr>
          <w:sz w:val="20"/>
        </w:rPr>
        <w:t>Crude</w:t>
      </w:r>
      <w:r>
        <w:rPr>
          <w:spacing w:val="14"/>
          <w:sz w:val="20"/>
        </w:rPr>
        <w:t> </w:t>
      </w:r>
      <w:r>
        <w:rPr>
          <w:sz w:val="20"/>
        </w:rPr>
        <w:t>Oil</w:t>
      </w:r>
      <w:r>
        <w:rPr>
          <w:spacing w:val="13"/>
          <w:sz w:val="20"/>
        </w:rPr>
        <w:t> </w:t>
      </w:r>
      <w:r>
        <w:rPr>
          <w:sz w:val="20"/>
        </w:rPr>
        <w:t>Prices:</w:t>
      </w:r>
      <w:r>
        <w:rPr>
          <w:spacing w:val="44"/>
          <w:sz w:val="20"/>
        </w:rPr>
        <w:t> </w:t>
      </w:r>
      <w:r>
        <w:rPr>
          <w:sz w:val="20"/>
        </w:rPr>
        <w:t>West</w:t>
      </w:r>
      <w:r>
        <w:rPr>
          <w:spacing w:val="14"/>
          <w:sz w:val="20"/>
        </w:rPr>
        <w:t> </w:t>
      </w:r>
      <w:r>
        <w:rPr>
          <w:sz w:val="20"/>
        </w:rPr>
        <w:t>Texas</w:t>
      </w:r>
      <w:r>
        <w:rPr>
          <w:spacing w:val="13"/>
          <w:sz w:val="20"/>
        </w:rPr>
        <w:t> </w:t>
      </w:r>
      <w:r>
        <w:rPr>
          <w:sz w:val="20"/>
        </w:rPr>
        <w:t>Intermediate</w:t>
      </w:r>
      <w:r>
        <w:rPr>
          <w:spacing w:val="14"/>
          <w:sz w:val="20"/>
        </w:rPr>
        <w:t> </w:t>
      </w:r>
      <w:r>
        <w:rPr>
          <w:spacing w:val="-2"/>
          <w:sz w:val="20"/>
        </w:rPr>
        <w:t>(WTI)</w:t>
      </w:r>
    </w:p>
    <w:p>
      <w:pPr>
        <w:pStyle w:val="BodyText"/>
        <w:spacing w:line="316" w:lineRule="auto" w:before="72"/>
        <w:ind w:left="137"/>
      </w:pPr>
      <w:r>
        <w:rPr/>
        <w:t>-</w:t>
      </w:r>
      <w:r>
        <w:rPr>
          <w:spacing w:val="34"/>
        </w:rPr>
        <w:t> </w:t>
      </w:r>
      <w:r>
        <w:rPr/>
        <w:t>Cushing,</w:t>
      </w:r>
      <w:r>
        <w:rPr>
          <w:spacing w:val="40"/>
        </w:rPr>
        <w:t> </w:t>
      </w:r>
      <w:r>
        <w:rPr/>
        <w:t>Oklahoma</w:t>
      </w:r>
      <w:r>
        <w:rPr>
          <w:spacing w:val="34"/>
        </w:rPr>
        <w:t> </w:t>
      </w:r>
      <w:r>
        <w:rPr/>
        <w:t>[DCOILWTICO],</w:t>
      </w:r>
      <w:r>
        <w:rPr>
          <w:spacing w:val="34"/>
        </w:rPr>
        <w:t> </w:t>
      </w:r>
      <w:r>
        <w:rPr/>
        <w:t>retrieved</w:t>
      </w:r>
      <w:r>
        <w:rPr>
          <w:spacing w:val="34"/>
        </w:rPr>
        <w:t> </w:t>
      </w:r>
      <w:r>
        <w:rPr/>
        <w:t>from</w:t>
      </w:r>
      <w:r>
        <w:rPr>
          <w:spacing w:val="34"/>
        </w:rPr>
        <w:t> </w:t>
      </w:r>
      <w:r>
        <w:rPr/>
        <w:t>FRED,</w:t>
      </w:r>
      <w:r>
        <w:rPr>
          <w:spacing w:val="34"/>
        </w:rPr>
        <w:t> </w:t>
      </w:r>
      <w:r>
        <w:rPr/>
        <w:t>Federal</w:t>
      </w:r>
      <w:r>
        <w:rPr>
          <w:spacing w:val="34"/>
        </w:rPr>
        <w:t> </w:t>
      </w:r>
      <w:r>
        <w:rPr/>
        <w:t>Reserve</w:t>
      </w:r>
      <w:r>
        <w:rPr>
          <w:spacing w:val="34"/>
        </w:rPr>
        <w:t> </w:t>
      </w:r>
      <w:r>
        <w:rPr/>
        <w:t>Bank</w:t>
      </w:r>
      <w:r>
        <w:rPr>
          <w:spacing w:val="34"/>
        </w:rPr>
        <w:t> </w:t>
      </w:r>
      <w:r>
        <w:rPr/>
        <w:t>of</w:t>
      </w:r>
      <w:r>
        <w:rPr>
          <w:spacing w:val="33"/>
        </w:rPr>
        <w:t> </w:t>
      </w:r>
      <w:r>
        <w:rPr/>
        <w:t>St.</w:t>
      </w:r>
      <w:r>
        <w:rPr>
          <w:spacing w:val="80"/>
        </w:rPr>
        <w:t> </w:t>
      </w:r>
      <w:r>
        <w:rPr/>
        <w:t>Louis; https://fred.stlouisfed.org/series/D April 3, 2020.</w:t>
      </w:r>
    </w:p>
    <w:p>
      <w:pPr>
        <w:pStyle w:val="ListParagraph"/>
        <w:numPr>
          <w:ilvl w:val="0"/>
          <w:numId w:val="3"/>
        </w:numPr>
        <w:tabs>
          <w:tab w:pos="780" w:val="left" w:leader="none"/>
        </w:tabs>
        <w:spacing w:line="225" w:lineRule="exact" w:before="0" w:after="0"/>
        <w:ind w:left="779" w:right="0" w:hanging="344"/>
        <w:jc w:val="left"/>
        <w:rPr>
          <w:sz w:val="20"/>
        </w:rPr>
      </w:pPr>
      <w:r>
        <w:rPr>
          <w:spacing w:val="-2"/>
          <w:sz w:val="20"/>
        </w:rPr>
        <w:t>Watts,</w:t>
      </w:r>
      <w:r>
        <w:rPr>
          <w:spacing w:val="6"/>
          <w:sz w:val="20"/>
        </w:rPr>
        <w:t> </w:t>
      </w:r>
      <w:r>
        <w:rPr>
          <w:spacing w:val="-2"/>
          <w:sz w:val="20"/>
        </w:rPr>
        <w:t>M.,</w:t>
      </w:r>
      <w:r>
        <w:rPr>
          <w:spacing w:val="6"/>
          <w:sz w:val="20"/>
        </w:rPr>
        <w:t> </w:t>
      </w:r>
      <w:r>
        <w:rPr>
          <w:spacing w:val="-2"/>
          <w:sz w:val="20"/>
        </w:rPr>
        <w:t>2007.</w:t>
      </w:r>
      <w:r>
        <w:rPr>
          <w:spacing w:val="23"/>
          <w:sz w:val="20"/>
        </w:rPr>
        <w:t> </w:t>
      </w:r>
      <w:r>
        <w:rPr>
          <w:spacing w:val="-2"/>
          <w:sz w:val="20"/>
        </w:rPr>
        <w:t>Petro-insurgency</w:t>
      </w:r>
      <w:r>
        <w:rPr>
          <w:spacing w:val="6"/>
          <w:sz w:val="20"/>
        </w:rPr>
        <w:t> </w:t>
      </w:r>
      <w:r>
        <w:rPr>
          <w:spacing w:val="-2"/>
          <w:sz w:val="20"/>
        </w:rPr>
        <w:t>or</w:t>
      </w:r>
      <w:r>
        <w:rPr>
          <w:spacing w:val="6"/>
          <w:sz w:val="20"/>
        </w:rPr>
        <w:t> </w:t>
      </w:r>
      <w:r>
        <w:rPr>
          <w:spacing w:val="-2"/>
          <w:sz w:val="20"/>
        </w:rPr>
        <w:t>criminal</w:t>
      </w:r>
      <w:r>
        <w:rPr>
          <w:spacing w:val="6"/>
          <w:sz w:val="20"/>
        </w:rPr>
        <w:t> </w:t>
      </w:r>
      <w:r>
        <w:rPr>
          <w:spacing w:val="-2"/>
          <w:sz w:val="20"/>
        </w:rPr>
        <w:t>syndicate?</w:t>
      </w:r>
      <w:r>
        <w:rPr>
          <w:spacing w:val="25"/>
          <w:sz w:val="20"/>
        </w:rPr>
        <w:t> </w:t>
      </w:r>
      <w:r>
        <w:rPr>
          <w:spacing w:val="-2"/>
          <w:sz w:val="20"/>
        </w:rPr>
        <w:t>Conflict</w:t>
      </w:r>
      <w:r>
        <w:rPr>
          <w:spacing w:val="6"/>
          <w:sz w:val="20"/>
        </w:rPr>
        <w:t> </w:t>
      </w:r>
      <w:r>
        <w:rPr>
          <w:spacing w:val="-2"/>
          <w:sz w:val="20"/>
        </w:rPr>
        <w:t>violence</w:t>
      </w:r>
      <w:r>
        <w:rPr>
          <w:spacing w:val="6"/>
          <w:sz w:val="20"/>
        </w:rPr>
        <w:t> </w:t>
      </w:r>
      <w:r>
        <w:rPr>
          <w:spacing w:val="-2"/>
          <w:sz w:val="20"/>
        </w:rPr>
        <w:t>in</w:t>
      </w:r>
      <w:r>
        <w:rPr>
          <w:spacing w:val="6"/>
          <w:sz w:val="20"/>
        </w:rPr>
        <w:t> </w:t>
      </w:r>
      <w:r>
        <w:rPr>
          <w:spacing w:val="-2"/>
          <w:sz w:val="20"/>
        </w:rPr>
        <w:t>the</w:t>
      </w:r>
      <w:r>
        <w:rPr>
          <w:spacing w:val="6"/>
          <w:sz w:val="20"/>
        </w:rPr>
        <w:t> </w:t>
      </w:r>
      <w:r>
        <w:rPr>
          <w:spacing w:val="-2"/>
          <w:sz w:val="20"/>
        </w:rPr>
        <w:t>Niger</w:t>
      </w:r>
      <w:r>
        <w:rPr>
          <w:spacing w:val="6"/>
          <w:sz w:val="20"/>
        </w:rPr>
        <w:t> </w:t>
      </w:r>
      <w:r>
        <w:rPr>
          <w:spacing w:val="-2"/>
          <w:sz w:val="20"/>
        </w:rPr>
        <w:t>Delta.</w:t>
      </w:r>
    </w:p>
    <w:p>
      <w:pPr>
        <w:pStyle w:val="ListParagraph"/>
        <w:numPr>
          <w:ilvl w:val="0"/>
          <w:numId w:val="3"/>
        </w:numPr>
        <w:tabs>
          <w:tab w:pos="776" w:val="left" w:leader="none"/>
        </w:tabs>
        <w:spacing w:line="240" w:lineRule="auto" w:before="72" w:after="0"/>
        <w:ind w:left="775" w:right="0" w:hanging="340"/>
        <w:jc w:val="left"/>
        <w:rPr>
          <w:sz w:val="20"/>
        </w:rPr>
      </w:pPr>
      <w:r>
        <w:rPr>
          <w:spacing w:val="-2"/>
          <w:sz w:val="20"/>
        </w:rPr>
        <w:t>Watts, M.,</w:t>
      </w:r>
      <w:r>
        <w:rPr>
          <w:spacing w:val="-1"/>
          <w:sz w:val="20"/>
        </w:rPr>
        <w:t> </w:t>
      </w:r>
      <w:r>
        <w:rPr>
          <w:spacing w:val="-2"/>
          <w:sz w:val="20"/>
        </w:rPr>
        <w:t>2007.</w:t>
      </w:r>
      <w:r>
        <w:rPr>
          <w:spacing w:val="21"/>
          <w:sz w:val="20"/>
        </w:rPr>
        <w:t> </w:t>
      </w:r>
      <w:r>
        <w:rPr>
          <w:spacing w:val="-2"/>
          <w:sz w:val="20"/>
        </w:rPr>
        <w:t>Petro-insurgency</w:t>
      </w:r>
      <w:r>
        <w:rPr>
          <w:spacing w:val="-3"/>
          <w:sz w:val="20"/>
        </w:rPr>
        <w:t> </w:t>
      </w:r>
      <w:r>
        <w:rPr>
          <w:spacing w:val="-2"/>
          <w:sz w:val="20"/>
        </w:rPr>
        <w:t>or</w:t>
      </w:r>
      <w:r>
        <w:rPr>
          <w:spacing w:val="-3"/>
          <w:sz w:val="20"/>
        </w:rPr>
        <w:t> </w:t>
      </w:r>
      <w:r>
        <w:rPr>
          <w:spacing w:val="-2"/>
          <w:sz w:val="20"/>
        </w:rPr>
        <w:t>criminal syndicate?</w:t>
      </w:r>
      <w:r>
        <w:rPr>
          <w:spacing w:val="21"/>
          <w:sz w:val="20"/>
        </w:rPr>
        <w:t> </w:t>
      </w:r>
      <w:r>
        <w:rPr>
          <w:spacing w:val="-2"/>
          <w:sz w:val="20"/>
        </w:rPr>
        <w:t>Conflict</w:t>
      </w:r>
      <w:r>
        <w:rPr>
          <w:spacing w:val="-3"/>
          <w:sz w:val="20"/>
        </w:rPr>
        <w:t> </w:t>
      </w:r>
      <w:r>
        <w:rPr>
          <w:spacing w:val="-2"/>
          <w:sz w:val="20"/>
        </w:rPr>
        <w:t>&amp;</w:t>
      </w:r>
      <w:r>
        <w:rPr>
          <w:spacing w:val="-3"/>
          <w:sz w:val="20"/>
        </w:rPr>
        <w:t> </w:t>
      </w:r>
      <w:r>
        <w:rPr>
          <w:spacing w:val="-2"/>
          <w:sz w:val="20"/>
        </w:rPr>
        <w:t>violence</w:t>
      </w:r>
      <w:r>
        <w:rPr>
          <w:spacing w:val="-3"/>
          <w:sz w:val="20"/>
        </w:rPr>
        <w:t> </w:t>
      </w:r>
      <w:r>
        <w:rPr>
          <w:spacing w:val="-2"/>
          <w:sz w:val="20"/>
        </w:rPr>
        <w:t>in</w:t>
      </w:r>
      <w:r>
        <w:rPr>
          <w:spacing w:val="-3"/>
          <w:sz w:val="20"/>
        </w:rPr>
        <w:t> </w:t>
      </w:r>
      <w:r>
        <w:rPr>
          <w:spacing w:val="-2"/>
          <w:sz w:val="20"/>
        </w:rPr>
        <w:t>the</w:t>
      </w:r>
      <w:r>
        <w:rPr>
          <w:spacing w:val="-3"/>
          <w:sz w:val="20"/>
        </w:rPr>
        <w:t> </w:t>
      </w:r>
      <w:r>
        <w:rPr>
          <w:spacing w:val="-2"/>
          <w:sz w:val="20"/>
        </w:rPr>
        <w:t>Niger Delta.</w:t>
      </w:r>
    </w:p>
    <w:p>
      <w:pPr>
        <w:spacing w:before="66"/>
        <w:ind w:left="137" w:right="0" w:firstLine="0"/>
        <w:jc w:val="left"/>
        <w:rPr>
          <w:sz w:val="20"/>
        </w:rPr>
      </w:pPr>
      <w:r>
        <w:rPr>
          <w:rFonts w:ascii="Bookman Old Style"/>
          <w:b w:val="0"/>
          <w:i/>
          <w:spacing w:val="-6"/>
          <w:sz w:val="20"/>
        </w:rPr>
        <w:t>Review</w:t>
      </w:r>
      <w:r>
        <w:rPr>
          <w:rFonts w:ascii="Bookman Old Style"/>
          <w:b w:val="0"/>
          <w:i/>
          <w:spacing w:val="-8"/>
          <w:sz w:val="20"/>
        </w:rPr>
        <w:t> </w:t>
      </w:r>
      <w:r>
        <w:rPr>
          <w:rFonts w:ascii="Bookman Old Style"/>
          <w:b w:val="0"/>
          <w:i/>
          <w:spacing w:val="-6"/>
          <w:sz w:val="20"/>
        </w:rPr>
        <w:t>of</w:t>
      </w:r>
      <w:r>
        <w:rPr>
          <w:rFonts w:ascii="Bookman Old Style"/>
          <w:b w:val="0"/>
          <w:i/>
          <w:spacing w:val="-7"/>
          <w:sz w:val="20"/>
        </w:rPr>
        <w:t> </w:t>
      </w:r>
      <w:r>
        <w:rPr>
          <w:rFonts w:ascii="Bookman Old Style"/>
          <w:b w:val="0"/>
          <w:i/>
          <w:spacing w:val="-6"/>
          <w:sz w:val="20"/>
        </w:rPr>
        <w:t>African</w:t>
      </w:r>
      <w:r>
        <w:rPr>
          <w:rFonts w:ascii="Bookman Old Style"/>
          <w:b w:val="0"/>
          <w:i/>
          <w:spacing w:val="-7"/>
          <w:sz w:val="20"/>
        </w:rPr>
        <w:t> </w:t>
      </w:r>
      <w:r>
        <w:rPr>
          <w:rFonts w:ascii="Bookman Old Style"/>
          <w:b w:val="0"/>
          <w:i/>
          <w:spacing w:val="-6"/>
          <w:sz w:val="20"/>
        </w:rPr>
        <w:t>political</w:t>
      </w:r>
      <w:r>
        <w:rPr>
          <w:rFonts w:ascii="Bookman Old Style"/>
          <w:b w:val="0"/>
          <w:i/>
          <w:spacing w:val="-7"/>
          <w:sz w:val="20"/>
        </w:rPr>
        <w:t> </w:t>
      </w:r>
      <w:r>
        <w:rPr>
          <w:rFonts w:ascii="Bookman Old Style"/>
          <w:b w:val="0"/>
          <w:i/>
          <w:spacing w:val="-6"/>
          <w:sz w:val="20"/>
        </w:rPr>
        <w:t>economy</w:t>
      </w:r>
      <w:r>
        <w:rPr>
          <w:spacing w:val="-6"/>
          <w:sz w:val="20"/>
        </w:rPr>
        <w:t>,</w:t>
      </w:r>
      <w:r>
        <w:rPr>
          <w:spacing w:val="1"/>
          <w:sz w:val="20"/>
        </w:rPr>
        <w:t> </w:t>
      </w:r>
      <w:r>
        <w:rPr>
          <w:spacing w:val="-6"/>
          <w:sz w:val="20"/>
        </w:rPr>
        <w:t>34(114),</w:t>
      </w:r>
      <w:r>
        <w:rPr>
          <w:spacing w:val="1"/>
          <w:sz w:val="20"/>
        </w:rPr>
        <w:t> </w:t>
      </w:r>
      <w:r>
        <w:rPr>
          <w:spacing w:val="-6"/>
          <w:sz w:val="20"/>
        </w:rPr>
        <w:t>pp.637-660.</w:t>
      </w:r>
    </w:p>
    <w:p>
      <w:pPr>
        <w:spacing w:after="0"/>
        <w:jc w:val="left"/>
        <w:rPr>
          <w:sz w:val="20"/>
        </w:rPr>
        <w:sectPr>
          <w:pgSz w:w="12240" w:h="15840"/>
          <w:pgMar w:header="0" w:footer="1252" w:top="1100" w:bottom="1440" w:left="1280" w:right="40"/>
        </w:sectPr>
      </w:pPr>
    </w:p>
    <w:p>
      <w:pPr>
        <w:pStyle w:val="ListParagraph"/>
        <w:numPr>
          <w:ilvl w:val="0"/>
          <w:numId w:val="3"/>
        </w:numPr>
        <w:tabs>
          <w:tab w:pos="824" w:val="left" w:leader="none"/>
        </w:tabs>
        <w:spacing w:line="240" w:lineRule="auto" w:before="49" w:after="0"/>
        <w:ind w:left="823" w:right="0" w:hanging="388"/>
        <w:jc w:val="left"/>
        <w:rPr>
          <w:sz w:val="20"/>
        </w:rPr>
      </w:pPr>
      <w:r>
        <w:rPr>
          <w:sz w:val="20"/>
        </w:rPr>
        <w:t>Watts,</w:t>
      </w:r>
      <w:r>
        <w:rPr>
          <w:spacing w:val="21"/>
          <w:sz w:val="20"/>
        </w:rPr>
        <w:t> </w:t>
      </w:r>
      <w:r>
        <w:rPr>
          <w:sz w:val="20"/>
        </w:rPr>
        <w:t>M.J.</w:t>
      </w:r>
      <w:r>
        <w:rPr>
          <w:spacing w:val="18"/>
          <w:sz w:val="20"/>
        </w:rPr>
        <w:t> </w:t>
      </w:r>
      <w:r>
        <w:rPr>
          <w:sz w:val="20"/>
        </w:rPr>
        <w:t>and</w:t>
      </w:r>
      <w:r>
        <w:rPr>
          <w:spacing w:val="18"/>
          <w:sz w:val="20"/>
        </w:rPr>
        <w:t> </w:t>
      </w:r>
      <w:r>
        <w:rPr>
          <w:sz w:val="20"/>
        </w:rPr>
        <w:t>Ibaba,</w:t>
      </w:r>
      <w:r>
        <w:rPr>
          <w:spacing w:val="22"/>
          <w:sz w:val="20"/>
        </w:rPr>
        <w:t> </w:t>
      </w:r>
      <w:r>
        <w:rPr>
          <w:sz w:val="20"/>
        </w:rPr>
        <w:t>I.S.,</w:t>
      </w:r>
      <w:r>
        <w:rPr>
          <w:spacing w:val="21"/>
          <w:sz w:val="20"/>
        </w:rPr>
        <w:t> </w:t>
      </w:r>
      <w:r>
        <w:rPr>
          <w:sz w:val="20"/>
        </w:rPr>
        <w:t>2011.</w:t>
      </w:r>
      <w:r>
        <w:rPr>
          <w:spacing w:val="61"/>
          <w:sz w:val="20"/>
        </w:rPr>
        <w:t> </w:t>
      </w:r>
      <w:r>
        <w:rPr>
          <w:sz w:val="20"/>
        </w:rPr>
        <w:t>Turbulent</w:t>
      </w:r>
      <w:r>
        <w:rPr>
          <w:spacing w:val="18"/>
          <w:sz w:val="20"/>
        </w:rPr>
        <w:t> </w:t>
      </w:r>
      <w:r>
        <w:rPr>
          <w:sz w:val="20"/>
        </w:rPr>
        <w:t>oil:</w:t>
      </w:r>
      <w:r>
        <w:rPr>
          <w:spacing w:val="48"/>
          <w:sz w:val="20"/>
        </w:rPr>
        <w:t> </w:t>
      </w:r>
      <w:r>
        <w:rPr>
          <w:sz w:val="20"/>
        </w:rPr>
        <w:t>Conflict</w:t>
      </w:r>
      <w:r>
        <w:rPr>
          <w:spacing w:val="19"/>
          <w:sz w:val="20"/>
        </w:rPr>
        <w:t> </w:t>
      </w:r>
      <w:r>
        <w:rPr>
          <w:sz w:val="20"/>
        </w:rPr>
        <w:t>and</w:t>
      </w:r>
      <w:r>
        <w:rPr>
          <w:spacing w:val="18"/>
          <w:sz w:val="20"/>
        </w:rPr>
        <w:t> </w:t>
      </w:r>
      <w:r>
        <w:rPr>
          <w:sz w:val="20"/>
        </w:rPr>
        <w:t>insecurity</w:t>
      </w:r>
      <w:r>
        <w:rPr>
          <w:spacing w:val="18"/>
          <w:sz w:val="20"/>
        </w:rPr>
        <w:t> </w:t>
      </w:r>
      <w:r>
        <w:rPr>
          <w:sz w:val="20"/>
        </w:rPr>
        <w:t>in</w:t>
      </w:r>
      <w:r>
        <w:rPr>
          <w:spacing w:val="18"/>
          <w:sz w:val="20"/>
        </w:rPr>
        <w:t> </w:t>
      </w:r>
      <w:r>
        <w:rPr>
          <w:sz w:val="20"/>
        </w:rPr>
        <w:t>the</w:t>
      </w:r>
      <w:r>
        <w:rPr>
          <w:spacing w:val="18"/>
          <w:sz w:val="20"/>
        </w:rPr>
        <w:t> </w:t>
      </w:r>
      <w:r>
        <w:rPr>
          <w:sz w:val="20"/>
        </w:rPr>
        <w:t>Niger</w:t>
      </w:r>
      <w:r>
        <w:rPr>
          <w:spacing w:val="18"/>
          <w:sz w:val="20"/>
        </w:rPr>
        <w:t> </w:t>
      </w:r>
      <w:r>
        <w:rPr>
          <w:spacing w:val="-2"/>
          <w:sz w:val="20"/>
        </w:rPr>
        <w:t>Delta.</w:t>
      </w:r>
    </w:p>
    <w:p>
      <w:pPr>
        <w:spacing w:before="67"/>
        <w:ind w:left="137" w:right="0" w:firstLine="0"/>
        <w:jc w:val="left"/>
        <w:rPr>
          <w:sz w:val="20"/>
        </w:rPr>
      </w:pPr>
      <w:r>
        <w:rPr>
          <w:rFonts w:ascii="Bookman Old Style"/>
          <w:b w:val="0"/>
          <w:i/>
          <w:spacing w:val="-4"/>
          <w:sz w:val="20"/>
        </w:rPr>
        <w:t>African</w:t>
      </w:r>
      <w:r>
        <w:rPr>
          <w:rFonts w:ascii="Bookman Old Style"/>
          <w:b w:val="0"/>
          <w:i/>
          <w:spacing w:val="4"/>
          <w:sz w:val="20"/>
        </w:rPr>
        <w:t> </w:t>
      </w:r>
      <w:r>
        <w:rPr>
          <w:rFonts w:ascii="Bookman Old Style"/>
          <w:b w:val="0"/>
          <w:i/>
          <w:spacing w:val="-4"/>
          <w:sz w:val="20"/>
        </w:rPr>
        <w:t>Security,</w:t>
      </w:r>
      <w:r>
        <w:rPr>
          <w:rFonts w:ascii="Bookman Old Style"/>
          <w:b w:val="0"/>
          <w:i/>
          <w:spacing w:val="1"/>
          <w:sz w:val="20"/>
        </w:rPr>
        <w:t> </w:t>
      </w:r>
      <w:r>
        <w:rPr>
          <w:spacing w:val="-4"/>
          <w:sz w:val="20"/>
        </w:rPr>
        <w:t>4(1),</w:t>
      </w:r>
      <w:r>
        <w:rPr>
          <w:spacing w:val="12"/>
          <w:sz w:val="20"/>
        </w:rPr>
        <w:t> </w:t>
      </w:r>
      <w:r>
        <w:rPr>
          <w:spacing w:val="-4"/>
          <w:sz w:val="20"/>
        </w:rPr>
        <w:t>pp.1-</w:t>
      </w:r>
      <w:r>
        <w:rPr>
          <w:spacing w:val="-5"/>
          <w:sz w:val="20"/>
        </w:rPr>
        <w:t>19.</w:t>
      </w:r>
    </w:p>
    <w:p>
      <w:pPr>
        <w:pStyle w:val="ListParagraph"/>
        <w:numPr>
          <w:ilvl w:val="0"/>
          <w:numId w:val="3"/>
        </w:numPr>
        <w:tabs>
          <w:tab w:pos="778" w:val="left" w:leader="none"/>
        </w:tabs>
        <w:spacing w:line="304" w:lineRule="auto" w:before="64" w:after="0"/>
        <w:ind w:left="137" w:right="1795" w:firstLine="298"/>
        <w:jc w:val="left"/>
        <w:rPr>
          <w:sz w:val="20"/>
        </w:rPr>
      </w:pPr>
      <w:r>
        <w:rPr>
          <w:sz w:val="20"/>
        </w:rPr>
        <w:t>Wright,</w:t>
      </w:r>
      <w:r>
        <w:rPr>
          <w:spacing w:val="-6"/>
          <w:sz w:val="20"/>
        </w:rPr>
        <w:t> </w:t>
      </w:r>
      <w:r>
        <w:rPr>
          <w:sz w:val="20"/>
        </w:rPr>
        <w:t>J.,</w:t>
      </w:r>
      <w:r>
        <w:rPr>
          <w:spacing w:val="-6"/>
          <w:sz w:val="20"/>
        </w:rPr>
        <w:t> </w:t>
      </w:r>
      <w:r>
        <w:rPr>
          <w:sz w:val="20"/>
        </w:rPr>
        <w:t>Frantz,</w:t>
      </w:r>
      <w:r>
        <w:rPr>
          <w:spacing w:val="-6"/>
          <w:sz w:val="20"/>
        </w:rPr>
        <w:t> </w:t>
      </w:r>
      <w:r>
        <w:rPr>
          <w:sz w:val="20"/>
        </w:rPr>
        <w:t>E.</w:t>
      </w:r>
      <w:r>
        <w:rPr>
          <w:spacing w:val="-6"/>
          <w:sz w:val="20"/>
        </w:rPr>
        <w:t> </w:t>
      </w:r>
      <w:r>
        <w:rPr>
          <w:sz w:val="20"/>
        </w:rPr>
        <w:t>and</w:t>
      </w:r>
      <w:r>
        <w:rPr>
          <w:spacing w:val="-7"/>
          <w:sz w:val="20"/>
        </w:rPr>
        <w:t> </w:t>
      </w:r>
      <w:r>
        <w:rPr>
          <w:sz w:val="20"/>
        </w:rPr>
        <w:t>Geddes,</w:t>
      </w:r>
      <w:r>
        <w:rPr>
          <w:spacing w:val="-6"/>
          <w:sz w:val="20"/>
        </w:rPr>
        <w:t> </w:t>
      </w:r>
      <w:r>
        <w:rPr>
          <w:sz w:val="20"/>
        </w:rPr>
        <w:t>B.,</w:t>
      </w:r>
      <w:r>
        <w:rPr>
          <w:spacing w:val="-6"/>
          <w:sz w:val="20"/>
        </w:rPr>
        <w:t> </w:t>
      </w:r>
      <w:r>
        <w:rPr>
          <w:sz w:val="20"/>
        </w:rPr>
        <w:t>2015.</w:t>
      </w:r>
      <w:r>
        <w:rPr>
          <w:spacing w:val="11"/>
          <w:sz w:val="20"/>
        </w:rPr>
        <w:t> </w:t>
      </w:r>
      <w:r>
        <w:rPr>
          <w:sz w:val="20"/>
        </w:rPr>
        <w:t>Oil</w:t>
      </w:r>
      <w:r>
        <w:rPr>
          <w:spacing w:val="-7"/>
          <w:sz w:val="20"/>
        </w:rPr>
        <w:t> </w:t>
      </w:r>
      <w:r>
        <w:rPr>
          <w:sz w:val="20"/>
        </w:rPr>
        <w:t>and</w:t>
      </w:r>
      <w:r>
        <w:rPr>
          <w:spacing w:val="-7"/>
          <w:sz w:val="20"/>
        </w:rPr>
        <w:t> </w:t>
      </w:r>
      <w:r>
        <w:rPr>
          <w:sz w:val="20"/>
        </w:rPr>
        <w:t>autocratic</w:t>
      </w:r>
      <w:r>
        <w:rPr>
          <w:spacing w:val="-7"/>
          <w:sz w:val="20"/>
        </w:rPr>
        <w:t> </w:t>
      </w:r>
      <w:r>
        <w:rPr>
          <w:sz w:val="20"/>
        </w:rPr>
        <w:t>regime</w:t>
      </w:r>
      <w:r>
        <w:rPr>
          <w:spacing w:val="-7"/>
          <w:sz w:val="20"/>
        </w:rPr>
        <w:t> </w:t>
      </w:r>
      <w:r>
        <w:rPr>
          <w:sz w:val="20"/>
        </w:rPr>
        <w:t>survival.</w:t>
      </w:r>
      <w:r>
        <w:rPr>
          <w:spacing w:val="12"/>
          <w:sz w:val="20"/>
        </w:rPr>
        <w:t> </w:t>
      </w:r>
      <w:r>
        <w:rPr>
          <w:rFonts w:ascii="Bookman Old Style"/>
          <w:b w:val="0"/>
          <w:i/>
          <w:sz w:val="20"/>
        </w:rPr>
        <w:t>British</w:t>
      </w:r>
      <w:r>
        <w:rPr>
          <w:rFonts w:ascii="Bookman Old Style"/>
          <w:b w:val="0"/>
          <w:i/>
          <w:spacing w:val="-15"/>
          <w:sz w:val="20"/>
        </w:rPr>
        <w:t> </w:t>
      </w:r>
      <w:r>
        <w:rPr>
          <w:rFonts w:ascii="Bookman Old Style"/>
          <w:b w:val="0"/>
          <w:i/>
          <w:sz w:val="20"/>
        </w:rPr>
        <w:t>Journal</w:t>
      </w:r>
      <w:r>
        <w:rPr>
          <w:rFonts w:ascii="Bookman Old Style"/>
          <w:b w:val="0"/>
          <w:i/>
          <w:sz w:val="20"/>
        </w:rPr>
        <w:t> of</w:t>
      </w:r>
      <w:r>
        <w:rPr>
          <w:rFonts w:ascii="Bookman Old Style"/>
          <w:b w:val="0"/>
          <w:i/>
          <w:spacing w:val="-9"/>
          <w:sz w:val="20"/>
        </w:rPr>
        <w:t> </w:t>
      </w:r>
      <w:r>
        <w:rPr>
          <w:rFonts w:ascii="Bookman Old Style"/>
          <w:b w:val="0"/>
          <w:i/>
          <w:sz w:val="20"/>
        </w:rPr>
        <w:t>Political</w:t>
      </w:r>
      <w:r>
        <w:rPr>
          <w:rFonts w:ascii="Bookman Old Style"/>
          <w:b w:val="0"/>
          <w:i/>
          <w:spacing w:val="-9"/>
          <w:sz w:val="20"/>
        </w:rPr>
        <w:t> </w:t>
      </w:r>
      <w:r>
        <w:rPr>
          <w:rFonts w:ascii="Bookman Old Style"/>
          <w:b w:val="0"/>
          <w:i/>
          <w:sz w:val="20"/>
        </w:rPr>
        <w:t>Science</w:t>
      </w:r>
      <w:r>
        <w:rPr>
          <w:sz w:val="20"/>
        </w:rPr>
        <w:t>,</w:t>
      </w:r>
      <w:r>
        <w:rPr>
          <w:spacing w:val="-1"/>
          <w:sz w:val="20"/>
        </w:rPr>
        <w:t> </w:t>
      </w:r>
      <w:r>
        <w:rPr>
          <w:sz w:val="20"/>
        </w:rPr>
        <w:t>45(2),</w:t>
      </w:r>
      <w:r>
        <w:rPr>
          <w:spacing w:val="-1"/>
          <w:sz w:val="20"/>
        </w:rPr>
        <w:t> </w:t>
      </w:r>
      <w:r>
        <w:rPr>
          <w:sz w:val="20"/>
        </w:rPr>
        <w:t>pp.287-306.</w:t>
      </w:r>
    </w:p>
    <w:p>
      <w:pPr>
        <w:spacing w:after="0" w:line="304" w:lineRule="auto"/>
        <w:jc w:val="left"/>
        <w:rPr>
          <w:sz w:val="20"/>
        </w:rPr>
        <w:sectPr>
          <w:pgSz w:w="12240" w:h="15840"/>
          <w:pgMar w:header="0" w:footer="1252" w:top="1100" w:bottom="1440" w:left="1280" w:right="40"/>
        </w:sectPr>
      </w:pPr>
    </w:p>
    <w:p>
      <w:pPr>
        <w:pStyle w:val="Heading1"/>
        <w:ind w:left="137" w:firstLine="0"/>
      </w:pPr>
      <w:r>
        <w:rPr>
          <w:spacing w:val="-2"/>
        </w:rPr>
        <w:t>Appendix</w:t>
      </w:r>
    </w:p>
    <w:p>
      <w:pPr>
        <w:pStyle w:val="BodyText"/>
        <w:spacing w:before="7"/>
        <w:rPr>
          <w:b/>
          <w:sz w:val="34"/>
        </w:rPr>
      </w:pPr>
    </w:p>
    <w:p>
      <w:pPr>
        <w:pStyle w:val="BodyText"/>
        <w:spacing w:line="316" w:lineRule="auto"/>
        <w:ind w:left="137" w:right="1793" w:firstLine="298"/>
        <w:jc w:val="both"/>
      </w:pPr>
      <w:r>
        <w:rPr/>
        <w:t>A</w:t>
      </w:r>
      <w:r>
        <w:rPr>
          <w:spacing w:val="-9"/>
        </w:rPr>
        <w:t> </w:t>
      </w:r>
      <w:r>
        <w:rPr/>
        <w:t>visual</w:t>
      </w:r>
      <w:r>
        <w:rPr>
          <w:spacing w:val="-9"/>
        </w:rPr>
        <w:t> </w:t>
      </w:r>
      <w:r>
        <w:rPr/>
        <w:t>model</w:t>
      </w:r>
      <w:r>
        <w:rPr>
          <w:spacing w:val="-9"/>
        </w:rPr>
        <w:t> </w:t>
      </w:r>
      <w:r>
        <w:rPr/>
        <w:t>of</w:t>
      </w:r>
      <w:r>
        <w:rPr>
          <w:spacing w:val="-9"/>
        </w:rPr>
        <w:t> </w:t>
      </w:r>
      <w:r>
        <w:rPr/>
        <w:t>our</w:t>
      </w:r>
      <w:r>
        <w:rPr>
          <w:spacing w:val="-9"/>
        </w:rPr>
        <w:t> </w:t>
      </w:r>
      <w:r>
        <w:rPr/>
        <w:t>primary</w:t>
      </w:r>
      <w:r>
        <w:rPr>
          <w:spacing w:val="-9"/>
        </w:rPr>
        <w:t> </w:t>
      </w:r>
      <w:r>
        <w:rPr/>
        <w:t>hypothesis</w:t>
      </w:r>
      <w:r>
        <w:rPr>
          <w:spacing w:val="-9"/>
        </w:rPr>
        <w:t> </w:t>
      </w:r>
      <w:r>
        <w:rPr/>
        <w:t>yields</w:t>
      </w:r>
      <w:r>
        <w:rPr>
          <w:spacing w:val="-9"/>
        </w:rPr>
        <w:t> </w:t>
      </w:r>
      <w:r>
        <w:rPr/>
        <w:t>a</w:t>
      </w:r>
      <w:r>
        <w:rPr>
          <w:spacing w:val="-9"/>
        </w:rPr>
        <w:t> </w:t>
      </w:r>
      <w:r>
        <w:rPr/>
        <w:t>clear</w:t>
      </w:r>
      <w:r>
        <w:rPr>
          <w:spacing w:val="-9"/>
        </w:rPr>
        <w:t> </w:t>
      </w:r>
      <w:r>
        <w:rPr/>
        <w:t>negative</w:t>
      </w:r>
      <w:r>
        <w:rPr>
          <w:spacing w:val="-9"/>
        </w:rPr>
        <w:t> </w:t>
      </w:r>
      <w:r>
        <w:rPr/>
        <w:t>relationship</w:t>
      </w:r>
      <w:r>
        <w:rPr>
          <w:spacing w:val="-9"/>
        </w:rPr>
        <w:t> </w:t>
      </w:r>
      <w:r>
        <w:rPr/>
        <w:t>between</w:t>
      </w:r>
      <w:r>
        <w:rPr>
          <w:spacing w:val="-9"/>
        </w:rPr>
        <w:t> </w:t>
      </w:r>
      <w:r>
        <w:rPr/>
        <w:t>the</w:t>
      </w:r>
      <w:r>
        <w:rPr>
          <w:spacing w:val="-9"/>
        </w:rPr>
        <w:t> </w:t>
      </w:r>
      <w:r>
        <w:rPr/>
        <w:t>prevailing market price for oil (measured in monthly mean intervals) and the average monthly battle deaths in ongoing</w:t>
      </w:r>
      <w:r>
        <w:rPr>
          <w:spacing w:val="-5"/>
        </w:rPr>
        <w:t> </w:t>
      </w:r>
      <w:r>
        <w:rPr/>
        <w:t>conflicts,</w:t>
      </w:r>
      <w:r>
        <w:rPr>
          <w:spacing w:val="-4"/>
        </w:rPr>
        <w:t> </w:t>
      </w:r>
      <w:r>
        <w:rPr/>
        <w:t>provided</w:t>
      </w:r>
      <w:r>
        <w:rPr>
          <w:spacing w:val="-5"/>
        </w:rPr>
        <w:t> </w:t>
      </w:r>
      <w:r>
        <w:rPr/>
        <w:t>those</w:t>
      </w:r>
      <w:r>
        <w:rPr>
          <w:spacing w:val="-5"/>
        </w:rPr>
        <w:t> </w:t>
      </w:r>
      <w:r>
        <w:rPr/>
        <w:t>conflicts</w:t>
      </w:r>
      <w:r>
        <w:rPr>
          <w:spacing w:val="-5"/>
        </w:rPr>
        <w:t> </w:t>
      </w:r>
      <w:r>
        <w:rPr/>
        <w:t>are</w:t>
      </w:r>
      <w:r>
        <w:rPr>
          <w:spacing w:val="-5"/>
        </w:rPr>
        <w:t> </w:t>
      </w:r>
      <w:r>
        <w:rPr/>
        <w:t>occurring</w:t>
      </w:r>
      <w:r>
        <w:rPr>
          <w:spacing w:val="-5"/>
        </w:rPr>
        <w:t> </w:t>
      </w:r>
      <w:r>
        <w:rPr/>
        <w:t>in</w:t>
      </w:r>
      <w:r>
        <w:rPr>
          <w:spacing w:val="-5"/>
        </w:rPr>
        <w:t> </w:t>
      </w:r>
      <w:r>
        <w:rPr/>
        <w:t>states</w:t>
      </w:r>
      <w:r>
        <w:rPr>
          <w:spacing w:val="-5"/>
        </w:rPr>
        <w:t> </w:t>
      </w:r>
      <w:r>
        <w:rPr/>
        <w:t>heavily</w:t>
      </w:r>
      <w:r>
        <w:rPr>
          <w:spacing w:val="-5"/>
        </w:rPr>
        <w:t> </w:t>
      </w:r>
      <w:r>
        <w:rPr/>
        <w:t>reliant</w:t>
      </w:r>
      <w:r>
        <w:rPr>
          <w:spacing w:val="-5"/>
        </w:rPr>
        <w:t> </w:t>
      </w:r>
      <w:r>
        <w:rPr/>
        <w:t>upon</w:t>
      </w:r>
      <w:r>
        <w:rPr>
          <w:spacing w:val="-5"/>
        </w:rPr>
        <w:t> </w:t>
      </w:r>
      <w:r>
        <w:rPr/>
        <w:t>the</w:t>
      </w:r>
      <w:r>
        <w:rPr>
          <w:spacing w:val="-5"/>
        </w:rPr>
        <w:t> </w:t>
      </w:r>
      <w:r>
        <w:rPr/>
        <w:t>sale</w:t>
      </w:r>
      <w:r>
        <w:rPr>
          <w:spacing w:val="-5"/>
        </w:rPr>
        <w:t> </w:t>
      </w:r>
      <w:r>
        <w:rPr/>
        <w:t>of</w:t>
      </w:r>
      <w:r>
        <w:rPr>
          <w:spacing w:val="-5"/>
        </w:rPr>
        <w:t> </w:t>
      </w:r>
      <w:r>
        <w:rPr/>
        <w:t>crude oil</w:t>
      </w:r>
      <w:r>
        <w:rPr>
          <w:spacing w:val="-8"/>
        </w:rPr>
        <w:t> </w:t>
      </w:r>
      <w:r>
        <w:rPr/>
        <w:t>for</w:t>
      </w:r>
      <w:r>
        <w:rPr>
          <w:spacing w:val="-8"/>
        </w:rPr>
        <w:t> </w:t>
      </w:r>
      <w:r>
        <w:rPr/>
        <w:t>government</w:t>
      </w:r>
      <w:r>
        <w:rPr>
          <w:spacing w:val="-8"/>
        </w:rPr>
        <w:t> </w:t>
      </w:r>
      <w:r>
        <w:rPr/>
        <w:t>revenue. Displayed</w:t>
      </w:r>
      <w:r>
        <w:rPr>
          <w:spacing w:val="-8"/>
        </w:rPr>
        <w:t> </w:t>
      </w:r>
      <w:r>
        <w:rPr/>
        <w:t>in</w:t>
      </w:r>
      <w:r>
        <w:rPr>
          <w:spacing w:val="-8"/>
        </w:rPr>
        <w:t> </w:t>
      </w:r>
      <w:r>
        <w:rPr/>
        <w:t>Figure</w:t>
      </w:r>
      <w:r>
        <w:rPr>
          <w:spacing w:val="-8"/>
        </w:rPr>
        <w:t> </w:t>
      </w:r>
      <w:r>
        <w:rPr/>
        <w:t>1,</w:t>
      </w:r>
      <w:r>
        <w:rPr>
          <w:spacing w:val="-8"/>
        </w:rPr>
        <w:t> </w:t>
      </w:r>
      <w:r>
        <w:rPr/>
        <w:t>a</w:t>
      </w:r>
      <w:r>
        <w:rPr>
          <w:spacing w:val="-9"/>
        </w:rPr>
        <w:t> </w:t>
      </w:r>
      <w:r>
        <w:rPr/>
        <w:t>full</w:t>
      </w:r>
      <w:r>
        <w:rPr>
          <w:spacing w:val="-8"/>
        </w:rPr>
        <w:t> </w:t>
      </w:r>
      <w:r>
        <w:rPr/>
        <w:t>move</w:t>
      </w:r>
      <w:r>
        <w:rPr>
          <w:spacing w:val="-8"/>
        </w:rPr>
        <w:t> </w:t>
      </w:r>
      <w:r>
        <w:rPr/>
        <w:t>across</w:t>
      </w:r>
      <w:r>
        <w:rPr>
          <w:spacing w:val="-8"/>
        </w:rPr>
        <w:t> </w:t>
      </w:r>
      <w:r>
        <w:rPr/>
        <w:t>the</w:t>
      </w:r>
      <w:r>
        <w:rPr>
          <w:spacing w:val="-8"/>
        </w:rPr>
        <w:t> </w:t>
      </w:r>
      <w:r>
        <w:rPr/>
        <w:t>range</w:t>
      </w:r>
      <w:r>
        <w:rPr>
          <w:spacing w:val="-8"/>
        </w:rPr>
        <w:t> </w:t>
      </w:r>
      <w:r>
        <w:rPr/>
        <w:t>of</w:t>
      </w:r>
      <w:r>
        <w:rPr>
          <w:spacing w:val="-9"/>
        </w:rPr>
        <w:t> </w:t>
      </w:r>
      <w:r>
        <w:rPr/>
        <w:t>observed</w:t>
      </w:r>
      <w:r>
        <w:rPr>
          <w:spacing w:val="-8"/>
        </w:rPr>
        <w:t> </w:t>
      </w:r>
      <w:r>
        <w:rPr/>
        <w:t>price</w:t>
      </w:r>
      <w:r>
        <w:rPr>
          <w:spacing w:val="-8"/>
        </w:rPr>
        <w:t> </w:t>
      </w:r>
      <w:r>
        <w:rPr/>
        <w:t>values for WTI Crude Oil in the dataset (from the lowest observed price to the highest) is predictive of over 50 fewer monthly deaths in ongoing civil conflicts on average among the states observed.</w:t>
      </w:r>
    </w:p>
    <w:p>
      <w:pPr>
        <w:pStyle w:val="BodyText"/>
        <w:spacing w:before="4"/>
        <w:rPr>
          <w:sz w:val="19"/>
        </w:rPr>
      </w:pPr>
      <w:r>
        <w:rPr/>
        <w:drawing>
          <wp:anchor distT="0" distB="0" distL="0" distR="0" allowOverlap="1" layoutInCell="1" locked="0" behindDoc="0" simplePos="0" relativeHeight="26">
            <wp:simplePos x="0" y="0"/>
            <wp:positionH relativeFrom="page">
              <wp:posOffset>1081949</wp:posOffset>
            </wp:positionH>
            <wp:positionV relativeFrom="paragraph">
              <wp:posOffset>155050</wp:posOffset>
            </wp:positionV>
            <wp:extent cx="5274945" cy="2786062"/>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17" cstate="print"/>
                    <a:stretch>
                      <a:fillRect/>
                    </a:stretch>
                  </pic:blipFill>
                  <pic:spPr>
                    <a:xfrm>
                      <a:off x="0" y="0"/>
                      <a:ext cx="5274945" cy="2786062"/>
                    </a:xfrm>
                    <a:prstGeom prst="rect">
                      <a:avLst/>
                    </a:prstGeom>
                  </pic:spPr>
                </pic:pic>
              </a:graphicData>
            </a:graphic>
          </wp:anchor>
        </w:drawing>
      </w:r>
    </w:p>
    <w:p>
      <w:pPr>
        <w:pStyle w:val="BodyText"/>
      </w:pPr>
    </w:p>
    <w:p>
      <w:pPr>
        <w:pStyle w:val="BodyText"/>
        <w:spacing w:before="1"/>
        <w:rPr>
          <w:sz w:val="28"/>
        </w:rPr>
      </w:pPr>
    </w:p>
    <w:p>
      <w:pPr>
        <w:pStyle w:val="BodyText"/>
        <w:spacing w:line="316" w:lineRule="auto" w:before="1"/>
        <w:ind w:left="137" w:right="1793" w:firstLine="298"/>
        <w:jc w:val="both"/>
      </w:pPr>
      <w:r>
        <w:rPr/>
        <w:t>In</w:t>
      </w:r>
      <w:r>
        <w:rPr>
          <w:spacing w:val="-5"/>
        </w:rPr>
        <w:t> </w:t>
      </w:r>
      <w:r>
        <w:rPr/>
        <w:t>order</w:t>
      </w:r>
      <w:r>
        <w:rPr>
          <w:spacing w:val="-5"/>
        </w:rPr>
        <w:t> </w:t>
      </w:r>
      <w:r>
        <w:rPr/>
        <w:t>to</w:t>
      </w:r>
      <w:r>
        <w:rPr>
          <w:spacing w:val="-5"/>
        </w:rPr>
        <w:t> </w:t>
      </w:r>
      <w:r>
        <w:rPr/>
        <w:t>re-test</w:t>
      </w:r>
      <w:r>
        <w:rPr>
          <w:spacing w:val="-5"/>
        </w:rPr>
        <w:t> </w:t>
      </w:r>
      <w:r>
        <w:rPr/>
        <w:t>Hypothesis</w:t>
      </w:r>
      <w:r>
        <w:rPr>
          <w:spacing w:val="-5"/>
        </w:rPr>
        <w:t> </w:t>
      </w:r>
      <w:r>
        <w:rPr/>
        <w:t>1</w:t>
      </w:r>
      <w:r>
        <w:rPr>
          <w:spacing w:val="-5"/>
        </w:rPr>
        <w:t> </w:t>
      </w:r>
      <w:r>
        <w:rPr/>
        <w:t>with</w:t>
      </w:r>
      <w:r>
        <w:rPr>
          <w:spacing w:val="-5"/>
        </w:rPr>
        <w:t> </w:t>
      </w:r>
      <w:r>
        <w:rPr/>
        <w:t>an</w:t>
      </w:r>
      <w:r>
        <w:rPr>
          <w:spacing w:val="-5"/>
        </w:rPr>
        <w:t> </w:t>
      </w:r>
      <w:r>
        <w:rPr/>
        <w:t>interactive</w:t>
      </w:r>
      <w:r>
        <w:rPr>
          <w:spacing w:val="-5"/>
        </w:rPr>
        <w:t> </w:t>
      </w:r>
      <w:r>
        <w:rPr/>
        <w:t>term,</w:t>
      </w:r>
      <w:r>
        <w:rPr>
          <w:spacing w:val="-5"/>
        </w:rPr>
        <w:t> </w:t>
      </w:r>
      <w:r>
        <w:rPr/>
        <w:t>we</w:t>
      </w:r>
      <w:r>
        <w:rPr>
          <w:spacing w:val="-5"/>
        </w:rPr>
        <w:t> </w:t>
      </w:r>
      <w:r>
        <w:rPr/>
        <w:t>specify</w:t>
      </w:r>
      <w:r>
        <w:rPr>
          <w:spacing w:val="-5"/>
        </w:rPr>
        <w:t> </w:t>
      </w:r>
      <w:r>
        <w:rPr/>
        <w:t>the</w:t>
      </w:r>
      <w:r>
        <w:rPr>
          <w:spacing w:val="-5"/>
        </w:rPr>
        <w:t> </w:t>
      </w:r>
      <w:r>
        <w:rPr/>
        <w:t>following</w:t>
      </w:r>
      <w:r>
        <w:rPr>
          <w:spacing w:val="-5"/>
        </w:rPr>
        <w:t> </w:t>
      </w:r>
      <w:r>
        <w:rPr/>
        <w:t>four</w:t>
      </w:r>
      <w:r>
        <w:rPr>
          <w:spacing w:val="-5"/>
        </w:rPr>
        <w:t> </w:t>
      </w:r>
      <w:r>
        <w:rPr/>
        <w:t>basic</w:t>
      </w:r>
      <w:r>
        <w:rPr>
          <w:spacing w:val="-5"/>
        </w:rPr>
        <w:t> </w:t>
      </w:r>
      <w:r>
        <w:rPr/>
        <w:t>models of yearly conflict battle deaths to include oil rents as a share of the state’s total GDP interacted with various measures of oil prices:</w:t>
      </w:r>
    </w:p>
    <w:p>
      <w:pPr>
        <w:spacing w:line="232" w:lineRule="auto" w:before="109"/>
        <w:ind w:left="137" w:right="330" w:firstLine="298"/>
        <w:jc w:val="left"/>
        <w:rPr>
          <w:rFonts w:ascii="Bookman Old Style" w:hAnsi="Bookman Old Style"/>
          <w:b w:val="0"/>
          <w:i/>
          <w:sz w:val="20"/>
        </w:rPr>
      </w:pPr>
      <w:r>
        <w:rPr>
          <w:rFonts w:ascii="Bookman Old Style" w:hAnsi="Bookman Old Style"/>
          <w:b w:val="0"/>
          <w:i/>
          <w:sz w:val="20"/>
        </w:rPr>
        <w:t>Battle</w:t>
      </w:r>
      <w:r>
        <w:rPr>
          <w:rFonts w:ascii="Bookman Old Style" w:hAnsi="Bookman Old Style"/>
          <w:b w:val="0"/>
          <w:i/>
          <w:spacing w:val="35"/>
          <w:sz w:val="20"/>
        </w:rPr>
        <w:t> </w:t>
      </w:r>
      <w:r>
        <w:rPr>
          <w:rFonts w:ascii="Bookman Old Style" w:hAnsi="Bookman Old Style"/>
          <w:b w:val="0"/>
          <w:i/>
          <w:sz w:val="20"/>
        </w:rPr>
        <w:t>Deaths</w:t>
      </w:r>
      <w:r>
        <w:rPr>
          <w:rFonts w:ascii="Trebuchet MS" w:hAnsi="Trebuchet MS"/>
          <w:i/>
          <w:sz w:val="20"/>
          <w:vertAlign w:val="subscript"/>
        </w:rPr>
        <w:t>it</w:t>
      </w:r>
      <w:r>
        <w:rPr>
          <w:rFonts w:ascii="Trebuchet MS" w:hAnsi="Trebuchet MS"/>
          <w:i/>
          <w:spacing w:val="40"/>
          <w:sz w:val="20"/>
          <w:vertAlign w:val="baseline"/>
        </w:rPr>
        <w:t> </w:t>
      </w:r>
      <w:r>
        <w:rPr>
          <w:sz w:val="20"/>
          <w:vertAlign w:val="baseline"/>
        </w:rPr>
        <w:t>=</w:t>
      </w:r>
      <w:r>
        <w:rPr>
          <w:spacing w:val="40"/>
          <w:sz w:val="20"/>
          <w:vertAlign w:val="baseline"/>
        </w:rPr>
        <w:t> </w:t>
      </w:r>
      <w:r>
        <w:rPr>
          <w:rFonts w:ascii="Bookman Old Style" w:hAnsi="Bookman Old Style"/>
          <w:b w:val="0"/>
          <w:i/>
          <w:spacing w:val="9"/>
          <w:sz w:val="20"/>
          <w:vertAlign w:val="baseline"/>
        </w:rPr>
        <w:t>B</w:t>
      </w:r>
      <w:r>
        <w:rPr>
          <w:rFonts w:ascii="Century Gothic" w:hAnsi="Century Gothic"/>
          <w:spacing w:val="9"/>
          <w:sz w:val="20"/>
          <w:vertAlign w:val="subscript"/>
        </w:rPr>
        <w:t>0</w:t>
      </w:r>
      <w:r>
        <w:rPr>
          <w:spacing w:val="9"/>
          <w:sz w:val="20"/>
          <w:vertAlign w:val="baseline"/>
        </w:rPr>
        <w:t>+</w:t>
      </w:r>
      <w:r>
        <w:rPr>
          <w:rFonts w:ascii="Bookman Old Style" w:hAnsi="Bookman Old Style"/>
          <w:b w:val="0"/>
          <w:i/>
          <w:spacing w:val="9"/>
          <w:sz w:val="20"/>
          <w:vertAlign w:val="baseline"/>
        </w:rPr>
        <w:t>B</w:t>
      </w:r>
      <w:r>
        <w:rPr>
          <w:rFonts w:ascii="Century Gothic" w:hAnsi="Century Gothic"/>
          <w:spacing w:val="9"/>
          <w:sz w:val="20"/>
          <w:vertAlign w:val="subscript"/>
        </w:rPr>
        <w:t>1</w:t>
      </w:r>
      <w:r>
        <w:rPr>
          <w:rFonts w:ascii="Bookman Old Style" w:hAnsi="Bookman Old Style"/>
          <w:b w:val="0"/>
          <w:i/>
          <w:spacing w:val="9"/>
          <w:sz w:val="20"/>
          <w:vertAlign w:val="baseline"/>
        </w:rPr>
        <w:t>WTI</w:t>
      </w:r>
      <w:r>
        <w:rPr>
          <w:rFonts w:ascii="Bookman Old Style" w:hAnsi="Bookman Old Style"/>
          <w:b w:val="0"/>
          <w:i/>
          <w:spacing w:val="30"/>
          <w:sz w:val="20"/>
          <w:vertAlign w:val="baseline"/>
        </w:rPr>
        <w:t> </w:t>
      </w:r>
      <w:r>
        <w:rPr>
          <w:rFonts w:ascii="Bookman Old Style" w:hAnsi="Bookman Old Style"/>
          <w:b w:val="0"/>
          <w:i/>
          <w:spacing w:val="21"/>
          <w:w w:val="102"/>
          <w:sz w:val="20"/>
          <w:vertAlign w:val="baseline"/>
        </w:rPr>
        <w:t>P</w:t>
      </w:r>
      <w:r>
        <w:rPr>
          <w:rFonts w:ascii="Bookman Old Style" w:hAnsi="Bookman Old Style"/>
          <w:b w:val="0"/>
          <w:i/>
          <w:spacing w:val="-1"/>
          <w:w w:val="108"/>
          <w:sz w:val="20"/>
          <w:vertAlign w:val="baseline"/>
        </w:rPr>
        <w:t>r</w:t>
      </w:r>
      <w:r>
        <w:rPr>
          <w:rFonts w:ascii="Bookman Old Style" w:hAnsi="Bookman Old Style"/>
          <w:b w:val="0"/>
          <w:i/>
          <w:spacing w:val="-6"/>
          <w:w w:val="91"/>
          <w:sz w:val="20"/>
          <w:vertAlign w:val="baseline"/>
        </w:rPr>
        <w:t>ice</w:t>
      </w:r>
      <w:r>
        <w:rPr>
          <w:rFonts w:ascii="Trebuchet MS" w:hAnsi="Trebuchet MS"/>
          <w:i/>
          <w:spacing w:val="3"/>
          <w:w w:val="136"/>
          <w:sz w:val="20"/>
          <w:vertAlign w:val="subscript"/>
        </w:rPr>
        <w:t>i</w:t>
      </w:r>
      <w:r>
        <w:rPr>
          <w:rFonts w:ascii="Trebuchet MS" w:hAnsi="Trebuchet MS"/>
          <w:i/>
          <w:spacing w:val="4"/>
          <w:w w:val="105"/>
          <w:sz w:val="20"/>
          <w:vertAlign w:val="subscript"/>
        </w:rPr>
        <w:t>t</w:t>
      </w:r>
      <w:r>
        <w:rPr>
          <w:rFonts w:ascii="Lucida Sans Unicode" w:hAnsi="Lucida Sans Unicode"/>
          <w:spacing w:val="-6"/>
          <w:w w:val="58"/>
          <w:sz w:val="20"/>
          <w:vertAlign w:val="baseline"/>
        </w:rPr>
        <w:t>∗</w:t>
      </w:r>
      <w:r>
        <w:rPr>
          <w:rFonts w:ascii="Bookman Old Style" w:hAnsi="Bookman Old Style"/>
          <w:b w:val="0"/>
          <w:i/>
          <w:spacing w:val="-1"/>
          <w:w w:val="95"/>
          <w:sz w:val="20"/>
          <w:vertAlign w:val="baseline"/>
        </w:rPr>
        <w:t>O</w:t>
      </w:r>
      <w:r>
        <w:rPr>
          <w:rFonts w:ascii="Bookman Old Style" w:hAnsi="Bookman Old Style"/>
          <w:b w:val="0"/>
          <w:i/>
          <w:spacing w:val="-6"/>
          <w:w w:val="110"/>
          <w:sz w:val="20"/>
          <w:vertAlign w:val="baseline"/>
        </w:rPr>
        <w:t>il</w:t>
      </w:r>
      <w:r>
        <w:rPr>
          <w:rFonts w:ascii="Bookman Old Style" w:hAnsi="Bookman Old Style"/>
          <w:b w:val="0"/>
          <w:i/>
          <w:spacing w:val="-1"/>
          <w:w w:val="99"/>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2</w:t>
      </w:r>
      <w:r>
        <w:rPr>
          <w:rFonts w:ascii="Bookman Old Style" w:hAnsi="Bookman Old Style"/>
          <w:b w:val="0"/>
          <w:i/>
          <w:sz w:val="20"/>
          <w:vertAlign w:val="baseline"/>
        </w:rPr>
        <w:t>WTI</w:t>
      </w:r>
      <w:r>
        <w:rPr>
          <w:rFonts w:ascii="Bookman Old Style" w:hAnsi="Bookman Old Style"/>
          <w:b w:val="0"/>
          <w:i/>
          <w:spacing w:val="30"/>
          <w:sz w:val="20"/>
          <w:vertAlign w:val="baseline"/>
        </w:rPr>
        <w:t> </w:t>
      </w:r>
      <w:r>
        <w:rPr>
          <w:rFonts w:ascii="Bookman Old Style" w:hAnsi="Bookman Old Style"/>
          <w:b w:val="0"/>
          <w:i/>
          <w:sz w:val="20"/>
          <w:vertAlign w:val="baseline"/>
        </w:rPr>
        <w:t>Price</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3</w:t>
      </w:r>
      <w:r>
        <w:rPr>
          <w:rFonts w:ascii="Bookman Old Style" w:hAnsi="Bookman Old Style"/>
          <w:b w:val="0"/>
          <w:i/>
          <w:sz w:val="20"/>
          <w:vertAlign w:val="baseline"/>
        </w:rPr>
        <w:t>Oil Rents</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4</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population</w:t>
      </w:r>
      <w:r>
        <w:rPr>
          <w:sz w:val="20"/>
          <w:vertAlign w:val="baseline"/>
        </w:rPr>
        <w:t>)</w:t>
      </w:r>
      <w:r>
        <w:rPr>
          <w:rFonts w:ascii="Trebuchet MS" w:hAnsi="Trebuchet MS"/>
          <w:i/>
          <w:sz w:val="20"/>
          <w:vertAlign w:val="subscript"/>
        </w:rPr>
        <w:t>it</w:t>
      </w:r>
      <w:r>
        <w:rPr>
          <w:sz w:val="20"/>
          <w:vertAlign w:val="baseline"/>
        </w:rPr>
        <w:t>+</w:t>
      </w:r>
      <w:r>
        <w:rPr>
          <w:spacing w:val="40"/>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5</w:t>
      </w:r>
      <w:r>
        <w:rPr>
          <w:rFonts w:ascii="Bookman Old Style" w:hAnsi="Bookman Old Style"/>
          <w:b w:val="0"/>
          <w:i/>
          <w:w w:val="105"/>
          <w:sz w:val="20"/>
          <w:vertAlign w:val="baseline"/>
        </w:rPr>
        <w:t>log</w:t>
      </w:r>
      <w:r>
        <w:rPr>
          <w:w w:val="105"/>
          <w:sz w:val="20"/>
          <w:vertAlign w:val="baseline"/>
        </w:rPr>
        <w:t>(</w:t>
      </w:r>
      <w:r>
        <w:rPr>
          <w:rFonts w:ascii="Bookman Old Style" w:hAnsi="Bookman Old Style"/>
          <w:b w:val="0"/>
          <w:i/>
          <w:w w:val="105"/>
          <w:sz w:val="20"/>
          <w:vertAlign w:val="baseline"/>
        </w:rPr>
        <w:t>GDP</w:t>
      </w:r>
      <w:r>
        <w:rPr>
          <w:rFonts w:ascii="Bookman Old Style" w:hAnsi="Bookman Old Style"/>
          <w:b w:val="0"/>
          <w:i/>
          <w:spacing w:val="-21"/>
          <w:w w:val="105"/>
          <w:sz w:val="20"/>
          <w:vertAlign w:val="baseline"/>
        </w:rPr>
        <w:t> </w:t>
      </w:r>
      <w:r>
        <w:rPr>
          <w:w w:val="105"/>
          <w:sz w:val="20"/>
          <w:vertAlign w:val="baseline"/>
        </w:rPr>
        <w:t>)</w:t>
      </w:r>
      <w:r>
        <w:rPr>
          <w:rFonts w:ascii="Trebuchet MS" w:hAnsi="Trebuchet MS"/>
          <w:i/>
          <w:w w:val="105"/>
          <w:sz w:val="20"/>
          <w:vertAlign w:val="subscript"/>
        </w:rPr>
        <w:t>it</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6</w:t>
      </w:r>
      <w:r>
        <w:rPr>
          <w:rFonts w:ascii="Bookman Old Style" w:hAnsi="Bookman Old Style"/>
          <w:b w:val="0"/>
          <w:i/>
          <w:w w:val="105"/>
          <w:sz w:val="20"/>
          <w:vertAlign w:val="baseline"/>
        </w:rPr>
        <w:t>BattleDeaths</w:t>
      </w:r>
      <w:r>
        <w:rPr>
          <w:rFonts w:ascii="Trebuchet MS" w:hAnsi="Trebuchet MS"/>
          <w:i/>
          <w:w w:val="105"/>
          <w:sz w:val="20"/>
          <w:vertAlign w:val="subscript"/>
        </w:rPr>
        <w:t>it</w:t>
      </w:r>
      <w:r>
        <w:rPr>
          <w:rFonts w:ascii="Lucida Sans Unicode" w:hAnsi="Lucida Sans Unicode"/>
          <w:w w:val="105"/>
          <w:sz w:val="20"/>
          <w:vertAlign w:val="subscript"/>
        </w:rPr>
        <w:t>−</w:t>
      </w:r>
      <w:r>
        <w:rPr>
          <w:rFonts w:ascii="Century Gothic" w:hAnsi="Century Gothic"/>
          <w:w w:val="105"/>
          <w:sz w:val="20"/>
          <w:vertAlign w:val="subscript"/>
        </w:rPr>
        <w:t>1</w:t>
      </w:r>
      <w:r>
        <w:rPr>
          <w:rFonts w:ascii="Century Gothic" w:hAnsi="Century Gothic"/>
          <w:w w:val="105"/>
          <w:sz w:val="20"/>
          <w:vertAlign w:val="baseline"/>
        </w:rPr>
        <w:t> </w:t>
      </w:r>
      <w:r>
        <w:rPr>
          <w:w w:val="105"/>
          <w:sz w:val="20"/>
          <w:vertAlign w:val="baseline"/>
        </w:rPr>
        <w:t>+ </w:t>
      </w:r>
      <w:r>
        <w:rPr>
          <w:rFonts w:ascii="Bookman Old Style" w:hAnsi="Bookman Old Style"/>
          <w:b w:val="0"/>
          <w:i/>
          <w:w w:val="105"/>
          <w:sz w:val="20"/>
          <w:vertAlign w:val="baseline"/>
        </w:rPr>
        <w:t>C</w:t>
      </w:r>
      <w:r>
        <w:rPr>
          <w:rFonts w:ascii="Trebuchet MS" w:hAnsi="Trebuchet MS"/>
          <w:i/>
          <w:w w:val="105"/>
          <w:sz w:val="20"/>
          <w:vertAlign w:val="subscript"/>
        </w:rPr>
        <w:t>i</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e</w:t>
      </w:r>
    </w:p>
    <w:p>
      <w:pPr>
        <w:spacing w:line="303" w:lineRule="exact" w:before="136"/>
        <w:ind w:left="436" w:right="0" w:firstLine="0"/>
        <w:jc w:val="left"/>
        <w:rPr>
          <w:sz w:val="20"/>
        </w:rPr>
      </w:pPr>
      <w:r>
        <w:rPr>
          <w:rFonts w:ascii="Bookman Old Style" w:hAnsi="Bookman Old Style"/>
          <w:b w:val="0"/>
          <w:i/>
          <w:w w:val="105"/>
          <w:sz w:val="20"/>
        </w:rPr>
        <w:t>Battle</w:t>
      </w:r>
      <w:r>
        <w:rPr>
          <w:rFonts w:ascii="Bookman Old Style" w:hAnsi="Bookman Old Style"/>
          <w:b w:val="0"/>
          <w:i/>
          <w:spacing w:val="11"/>
          <w:w w:val="105"/>
          <w:sz w:val="20"/>
        </w:rPr>
        <w:t> </w:t>
      </w:r>
      <w:r>
        <w:rPr>
          <w:rFonts w:ascii="Bookman Old Style" w:hAnsi="Bookman Old Style"/>
          <w:b w:val="0"/>
          <w:i/>
          <w:w w:val="105"/>
          <w:sz w:val="20"/>
        </w:rPr>
        <w:t>Deaths</w:t>
      </w:r>
      <w:r>
        <w:rPr>
          <w:rFonts w:ascii="Trebuchet MS" w:hAnsi="Trebuchet MS"/>
          <w:i/>
          <w:w w:val="105"/>
          <w:sz w:val="20"/>
          <w:vertAlign w:val="subscript"/>
        </w:rPr>
        <w:t>it</w:t>
      </w:r>
      <w:r>
        <w:rPr>
          <w:rFonts w:ascii="Trebuchet MS" w:hAnsi="Trebuchet MS"/>
          <w:i/>
          <w:spacing w:val="18"/>
          <w:w w:val="105"/>
          <w:sz w:val="20"/>
          <w:vertAlign w:val="baseline"/>
        </w:rPr>
        <w:t> </w:t>
      </w:r>
      <w:r>
        <w:rPr>
          <w:w w:val="105"/>
          <w:sz w:val="20"/>
          <w:vertAlign w:val="baseline"/>
        </w:rPr>
        <w:t>=</w:t>
      </w:r>
      <w:r>
        <w:rPr>
          <w:spacing w:val="21"/>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0</w:t>
      </w:r>
      <w:r>
        <w:rPr>
          <w:rFonts w:ascii="Century Gothic" w:hAnsi="Century Gothic"/>
          <w:spacing w:val="1"/>
          <w:w w:val="105"/>
          <w:sz w:val="20"/>
          <w:vertAlign w:val="baseline"/>
        </w:rPr>
        <w:t> </w:t>
      </w:r>
      <w:r>
        <w:rPr>
          <w:w w:val="105"/>
          <w:sz w:val="20"/>
          <w:vertAlign w:val="baseline"/>
        </w:rPr>
        <w:t>+</w:t>
      </w:r>
      <w:r>
        <w:rPr>
          <w:spacing w:val="-2"/>
          <w:w w:val="105"/>
          <w:sz w:val="20"/>
          <w:vertAlign w:val="baseline"/>
        </w:rPr>
        <w:t> </w:t>
      </w:r>
      <w:r>
        <w:rPr>
          <w:rFonts w:ascii="Bookman Old Style" w:hAnsi="Bookman Old Style"/>
          <w:b w:val="0"/>
          <w:i/>
          <w:spacing w:val="12"/>
          <w:w w:val="105"/>
          <w:sz w:val="20"/>
          <w:vertAlign w:val="baseline"/>
        </w:rPr>
        <w:t>B</w:t>
      </w:r>
      <w:r>
        <w:rPr>
          <w:rFonts w:ascii="Century Gothic" w:hAnsi="Century Gothic"/>
          <w:spacing w:val="12"/>
          <w:w w:val="105"/>
          <w:sz w:val="20"/>
          <w:vertAlign w:val="subscript"/>
        </w:rPr>
        <w:t>1</w:t>
      </w:r>
      <w:r>
        <w:rPr>
          <w:rFonts w:ascii="Bookman Old Style" w:hAnsi="Bookman Old Style"/>
          <w:b w:val="0"/>
          <w:i/>
          <w:spacing w:val="12"/>
          <w:w w:val="105"/>
          <w:sz w:val="20"/>
          <w:vertAlign w:val="baseline"/>
        </w:rPr>
        <w:t>WTI</w:t>
      </w:r>
      <w:r>
        <w:rPr>
          <w:rFonts w:ascii="Bookman Old Style" w:hAnsi="Bookman Old Style"/>
          <w:b w:val="0"/>
          <w:i/>
          <w:spacing w:val="-15"/>
          <w:w w:val="105"/>
          <w:sz w:val="20"/>
          <w:vertAlign w:val="baseline"/>
        </w:rPr>
        <w:t> </w:t>
      </w:r>
      <w:r>
        <w:rPr>
          <w:rFonts w:ascii="Bookman Old Style" w:hAnsi="Bookman Old Style"/>
          <w:b w:val="0"/>
          <w:i/>
          <w:w w:val="105"/>
          <w:sz w:val="20"/>
          <w:vertAlign w:val="baseline"/>
        </w:rPr>
        <w:t>Price</w:t>
      </w:r>
      <w:r>
        <w:rPr>
          <w:rFonts w:ascii="Trebuchet MS" w:hAnsi="Trebuchet MS"/>
          <w:i/>
          <w:w w:val="105"/>
          <w:sz w:val="20"/>
          <w:vertAlign w:val="subscript"/>
        </w:rPr>
        <w:t>i</w:t>
      </w:r>
      <w:r>
        <w:rPr>
          <w:rFonts w:ascii="Century Gothic" w:hAnsi="Century Gothic"/>
          <w:w w:val="105"/>
          <w:sz w:val="20"/>
          <w:vertAlign w:val="subscript"/>
        </w:rPr>
        <w:t>(</w:t>
      </w:r>
      <w:r>
        <w:rPr>
          <w:rFonts w:ascii="Trebuchet MS" w:hAnsi="Trebuchet MS"/>
          <w:i/>
          <w:w w:val="105"/>
          <w:sz w:val="20"/>
          <w:vertAlign w:val="subscript"/>
        </w:rPr>
        <w:t>t</w:t>
      </w:r>
      <w:r>
        <w:rPr>
          <w:rFonts w:ascii="Lucida Sans Unicode" w:hAnsi="Lucida Sans Unicode"/>
          <w:w w:val="105"/>
          <w:sz w:val="20"/>
          <w:vertAlign w:val="subscript"/>
        </w:rPr>
        <w:t>−</w:t>
      </w:r>
      <w:r>
        <w:rPr>
          <w:rFonts w:ascii="Century Gothic" w:hAnsi="Century Gothic"/>
          <w:w w:val="105"/>
          <w:sz w:val="20"/>
          <w:vertAlign w:val="subscript"/>
        </w:rPr>
        <w:t>1)</w:t>
      </w:r>
      <w:r>
        <w:rPr>
          <w:rFonts w:ascii="Century Gothic" w:hAnsi="Century Gothic"/>
          <w:spacing w:val="1"/>
          <w:w w:val="105"/>
          <w:sz w:val="20"/>
          <w:vertAlign w:val="baseline"/>
        </w:rPr>
        <w:t> </w:t>
      </w:r>
      <w:r>
        <w:rPr>
          <w:rFonts w:ascii="Lucida Sans Unicode" w:hAnsi="Lucida Sans Unicode"/>
          <w:sz w:val="20"/>
          <w:vertAlign w:val="baseline"/>
        </w:rPr>
        <w:t>∗</w:t>
      </w:r>
      <w:r>
        <w:rPr>
          <w:rFonts w:ascii="Lucida Sans Unicode" w:hAnsi="Lucida Sans Unicode"/>
          <w:spacing w:val="-14"/>
          <w:sz w:val="20"/>
          <w:vertAlign w:val="baseline"/>
        </w:rPr>
        <w:t> </w:t>
      </w:r>
      <w:r>
        <w:rPr>
          <w:rFonts w:ascii="Bookman Old Style" w:hAnsi="Bookman Old Style"/>
          <w:b w:val="0"/>
          <w:i/>
          <w:w w:val="105"/>
          <w:sz w:val="20"/>
          <w:vertAlign w:val="baseline"/>
        </w:rPr>
        <w:t>Oil</w:t>
      </w:r>
      <w:r>
        <w:rPr>
          <w:rFonts w:ascii="Bookman Old Style" w:hAnsi="Bookman Old Style"/>
          <w:b w:val="0"/>
          <w:i/>
          <w:spacing w:val="-26"/>
          <w:w w:val="105"/>
          <w:sz w:val="20"/>
          <w:vertAlign w:val="baseline"/>
        </w:rPr>
        <w:t> </w:t>
      </w:r>
      <w:r>
        <w:rPr>
          <w:rFonts w:ascii="Bookman Old Style" w:hAnsi="Bookman Old Style"/>
          <w:b w:val="0"/>
          <w:i/>
          <w:w w:val="105"/>
          <w:sz w:val="20"/>
          <w:vertAlign w:val="baseline"/>
        </w:rPr>
        <w:t>Rents</w:t>
      </w:r>
      <w:r>
        <w:rPr>
          <w:rFonts w:ascii="Trebuchet MS" w:hAnsi="Trebuchet MS"/>
          <w:i/>
          <w:w w:val="105"/>
          <w:sz w:val="20"/>
          <w:vertAlign w:val="subscript"/>
        </w:rPr>
        <w:t>it</w:t>
      </w:r>
      <w:r>
        <w:rPr>
          <w:rFonts w:ascii="Trebuchet MS" w:hAnsi="Trebuchet MS"/>
          <w:i/>
          <w:spacing w:val="-4"/>
          <w:w w:val="105"/>
          <w:sz w:val="20"/>
          <w:vertAlign w:val="baseline"/>
        </w:rPr>
        <w:t> </w:t>
      </w:r>
      <w:r>
        <w:rPr>
          <w:w w:val="105"/>
          <w:sz w:val="20"/>
          <w:vertAlign w:val="baseline"/>
        </w:rPr>
        <w:t>+</w:t>
      </w:r>
      <w:r>
        <w:rPr>
          <w:spacing w:val="-2"/>
          <w:w w:val="105"/>
          <w:sz w:val="20"/>
          <w:vertAlign w:val="baseline"/>
        </w:rPr>
        <w:t> </w:t>
      </w:r>
      <w:r>
        <w:rPr>
          <w:rFonts w:ascii="Bookman Old Style" w:hAnsi="Bookman Old Style"/>
          <w:b w:val="0"/>
          <w:i/>
          <w:spacing w:val="12"/>
          <w:w w:val="105"/>
          <w:sz w:val="20"/>
          <w:vertAlign w:val="baseline"/>
        </w:rPr>
        <w:t>B</w:t>
      </w:r>
      <w:r>
        <w:rPr>
          <w:rFonts w:ascii="Century Gothic" w:hAnsi="Century Gothic"/>
          <w:spacing w:val="12"/>
          <w:w w:val="105"/>
          <w:sz w:val="20"/>
          <w:vertAlign w:val="subscript"/>
        </w:rPr>
        <w:t>2</w:t>
      </w:r>
      <w:r>
        <w:rPr>
          <w:rFonts w:ascii="Bookman Old Style" w:hAnsi="Bookman Old Style"/>
          <w:b w:val="0"/>
          <w:i/>
          <w:spacing w:val="12"/>
          <w:w w:val="105"/>
          <w:sz w:val="20"/>
          <w:vertAlign w:val="baseline"/>
        </w:rPr>
        <w:t>WTI</w:t>
      </w:r>
      <w:r>
        <w:rPr>
          <w:rFonts w:ascii="Bookman Old Style" w:hAnsi="Bookman Old Style"/>
          <w:b w:val="0"/>
          <w:i/>
          <w:spacing w:val="-15"/>
          <w:w w:val="105"/>
          <w:sz w:val="20"/>
          <w:vertAlign w:val="baseline"/>
        </w:rPr>
        <w:t> </w:t>
      </w:r>
      <w:r>
        <w:rPr>
          <w:rFonts w:ascii="Bookman Old Style" w:hAnsi="Bookman Old Style"/>
          <w:b w:val="0"/>
          <w:i/>
          <w:w w:val="105"/>
          <w:sz w:val="20"/>
          <w:vertAlign w:val="baseline"/>
        </w:rPr>
        <w:t>Price</w:t>
      </w:r>
      <w:r>
        <w:rPr>
          <w:rFonts w:ascii="Trebuchet MS" w:hAnsi="Trebuchet MS"/>
          <w:i/>
          <w:w w:val="105"/>
          <w:sz w:val="20"/>
          <w:vertAlign w:val="subscript"/>
        </w:rPr>
        <w:t>i</w:t>
      </w:r>
      <w:r>
        <w:rPr>
          <w:rFonts w:ascii="Century Gothic" w:hAnsi="Century Gothic"/>
          <w:w w:val="105"/>
          <w:sz w:val="20"/>
          <w:vertAlign w:val="subscript"/>
        </w:rPr>
        <w:t>(</w:t>
      </w:r>
      <w:r>
        <w:rPr>
          <w:rFonts w:ascii="Trebuchet MS" w:hAnsi="Trebuchet MS"/>
          <w:i/>
          <w:w w:val="105"/>
          <w:sz w:val="20"/>
          <w:vertAlign w:val="subscript"/>
        </w:rPr>
        <w:t>t</w:t>
      </w:r>
      <w:r>
        <w:rPr>
          <w:rFonts w:ascii="Lucida Sans Unicode" w:hAnsi="Lucida Sans Unicode"/>
          <w:w w:val="105"/>
          <w:sz w:val="20"/>
          <w:vertAlign w:val="subscript"/>
        </w:rPr>
        <w:t>−</w:t>
      </w:r>
      <w:r>
        <w:rPr>
          <w:rFonts w:ascii="Century Gothic" w:hAnsi="Century Gothic"/>
          <w:w w:val="105"/>
          <w:sz w:val="20"/>
          <w:vertAlign w:val="subscript"/>
        </w:rPr>
        <w:t>1)</w:t>
      </w:r>
      <w:r>
        <w:rPr>
          <w:rFonts w:ascii="Century Gothic" w:hAnsi="Century Gothic"/>
          <w:spacing w:val="1"/>
          <w:w w:val="105"/>
          <w:sz w:val="20"/>
          <w:vertAlign w:val="baseline"/>
        </w:rPr>
        <w:t> </w:t>
      </w:r>
      <w:r>
        <w:rPr>
          <w:w w:val="105"/>
          <w:sz w:val="20"/>
          <w:vertAlign w:val="baseline"/>
        </w:rPr>
        <w:t>+</w:t>
      </w:r>
      <w:r>
        <w:rPr>
          <w:spacing w:val="-2"/>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3</w:t>
      </w:r>
      <w:r>
        <w:rPr>
          <w:rFonts w:ascii="Bookman Old Style" w:hAnsi="Bookman Old Style"/>
          <w:b w:val="0"/>
          <w:i/>
          <w:w w:val="105"/>
          <w:sz w:val="20"/>
          <w:vertAlign w:val="baseline"/>
        </w:rPr>
        <w:t>Oil</w:t>
      </w:r>
      <w:r>
        <w:rPr>
          <w:rFonts w:ascii="Bookman Old Style" w:hAnsi="Bookman Old Style"/>
          <w:b w:val="0"/>
          <w:i/>
          <w:spacing w:val="-26"/>
          <w:w w:val="105"/>
          <w:sz w:val="20"/>
          <w:vertAlign w:val="baseline"/>
        </w:rPr>
        <w:t> </w:t>
      </w:r>
      <w:r>
        <w:rPr>
          <w:rFonts w:ascii="Bookman Old Style" w:hAnsi="Bookman Old Style"/>
          <w:b w:val="0"/>
          <w:i/>
          <w:w w:val="105"/>
          <w:sz w:val="20"/>
          <w:vertAlign w:val="baseline"/>
        </w:rPr>
        <w:t>Rents</w:t>
      </w:r>
      <w:r>
        <w:rPr>
          <w:rFonts w:ascii="Trebuchet MS" w:hAnsi="Trebuchet MS"/>
          <w:i/>
          <w:w w:val="105"/>
          <w:sz w:val="20"/>
          <w:vertAlign w:val="subscript"/>
        </w:rPr>
        <w:t>it</w:t>
      </w:r>
      <w:r>
        <w:rPr>
          <w:rFonts w:ascii="Trebuchet MS" w:hAnsi="Trebuchet MS"/>
          <w:i/>
          <w:spacing w:val="-4"/>
          <w:w w:val="105"/>
          <w:sz w:val="20"/>
          <w:vertAlign w:val="baseline"/>
        </w:rPr>
        <w:t> </w:t>
      </w:r>
      <w:r>
        <w:rPr>
          <w:spacing w:val="-10"/>
          <w:w w:val="105"/>
          <w:sz w:val="20"/>
          <w:vertAlign w:val="baseline"/>
        </w:rPr>
        <w:t>+</w:t>
      </w:r>
    </w:p>
    <w:p>
      <w:pPr>
        <w:spacing w:line="303" w:lineRule="exact" w:before="0"/>
        <w:ind w:left="137" w:right="0" w:firstLine="0"/>
        <w:jc w:val="left"/>
        <w:rPr>
          <w:rFonts w:ascii="Bookman Old Style" w:hAnsi="Bookman Old Style"/>
          <w:b w:val="0"/>
          <w:i/>
          <w:sz w:val="20"/>
        </w:rPr>
      </w:pPr>
      <w:r>
        <w:rPr>
          <w:rFonts w:ascii="Bookman Old Style" w:hAnsi="Bookman Old Style"/>
          <w:b w:val="0"/>
          <w:i/>
          <w:sz w:val="20"/>
        </w:rPr>
        <w:t>B</w:t>
      </w:r>
      <w:r>
        <w:rPr>
          <w:rFonts w:ascii="Century Gothic" w:hAnsi="Century Gothic"/>
          <w:sz w:val="20"/>
          <w:vertAlign w:val="subscript"/>
        </w:rPr>
        <w:t>4</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population</w:t>
      </w:r>
      <w:r>
        <w:rPr>
          <w:sz w:val="20"/>
          <w:vertAlign w:val="baseline"/>
        </w:rPr>
        <w:t>)</w:t>
      </w:r>
      <w:r>
        <w:rPr>
          <w:rFonts w:ascii="Trebuchet MS" w:hAnsi="Trebuchet MS"/>
          <w:i/>
          <w:sz w:val="20"/>
          <w:vertAlign w:val="subscript"/>
        </w:rPr>
        <w:t>it</w:t>
      </w:r>
      <w:r>
        <w:rPr>
          <w:rFonts w:ascii="Trebuchet MS" w:hAnsi="Trebuchet MS"/>
          <w:i/>
          <w:spacing w:val="18"/>
          <w:sz w:val="20"/>
          <w:vertAlign w:val="baseline"/>
        </w:rPr>
        <w:t> </w:t>
      </w:r>
      <w:r>
        <w:rPr>
          <w:sz w:val="20"/>
          <w:vertAlign w:val="baseline"/>
        </w:rPr>
        <w:t>+</w:t>
      </w:r>
      <w:r>
        <w:rPr>
          <w:spacing w:val="16"/>
          <w:sz w:val="20"/>
          <w:vertAlign w:val="baseline"/>
        </w:rPr>
        <w:t> </w:t>
      </w:r>
      <w:r>
        <w:rPr>
          <w:rFonts w:ascii="Bookman Old Style" w:hAnsi="Bookman Old Style"/>
          <w:b w:val="0"/>
          <w:i/>
          <w:sz w:val="20"/>
          <w:vertAlign w:val="baseline"/>
        </w:rPr>
        <w:t>B</w:t>
      </w:r>
      <w:r>
        <w:rPr>
          <w:rFonts w:ascii="Century Gothic" w:hAnsi="Century Gothic"/>
          <w:sz w:val="20"/>
          <w:vertAlign w:val="subscript"/>
        </w:rPr>
        <w:t>5</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GDP</w:t>
      </w:r>
      <w:r>
        <w:rPr>
          <w:rFonts w:ascii="Bookman Old Style" w:hAnsi="Bookman Old Style"/>
          <w:b w:val="0"/>
          <w:i/>
          <w:spacing w:val="-21"/>
          <w:sz w:val="20"/>
          <w:vertAlign w:val="baseline"/>
        </w:rPr>
        <w:t> </w:t>
      </w:r>
      <w:r>
        <w:rPr>
          <w:sz w:val="20"/>
          <w:vertAlign w:val="baseline"/>
        </w:rPr>
        <w:t>)</w:t>
      </w:r>
      <w:r>
        <w:rPr>
          <w:rFonts w:ascii="Trebuchet MS" w:hAnsi="Trebuchet MS"/>
          <w:i/>
          <w:sz w:val="20"/>
          <w:vertAlign w:val="subscript"/>
        </w:rPr>
        <w:t>it</w:t>
      </w:r>
      <w:r>
        <w:rPr>
          <w:rFonts w:ascii="Trebuchet MS" w:hAnsi="Trebuchet MS"/>
          <w:i/>
          <w:spacing w:val="19"/>
          <w:sz w:val="20"/>
          <w:vertAlign w:val="baseline"/>
        </w:rPr>
        <w:t> </w:t>
      </w:r>
      <w:r>
        <w:rPr>
          <w:sz w:val="20"/>
          <w:vertAlign w:val="baseline"/>
        </w:rPr>
        <w:t>+</w:t>
      </w:r>
      <w:r>
        <w:rPr>
          <w:spacing w:val="16"/>
          <w:sz w:val="20"/>
          <w:vertAlign w:val="baseline"/>
        </w:rPr>
        <w:t> </w:t>
      </w:r>
      <w:r>
        <w:rPr>
          <w:rFonts w:ascii="Bookman Old Style" w:hAnsi="Bookman Old Style"/>
          <w:b w:val="0"/>
          <w:i/>
          <w:sz w:val="20"/>
          <w:vertAlign w:val="baseline"/>
        </w:rPr>
        <w:t>B</w:t>
      </w:r>
      <w:r>
        <w:rPr>
          <w:rFonts w:ascii="Century Gothic" w:hAnsi="Century Gothic"/>
          <w:sz w:val="20"/>
          <w:vertAlign w:val="subscript"/>
        </w:rPr>
        <w:t>6</w:t>
      </w:r>
      <w:r>
        <w:rPr>
          <w:rFonts w:ascii="Bookman Old Style" w:hAnsi="Bookman Old Style"/>
          <w:b w:val="0"/>
          <w:i/>
          <w:sz w:val="20"/>
          <w:vertAlign w:val="baseline"/>
        </w:rPr>
        <w:t>BattleDeaths</w:t>
      </w:r>
      <w:r>
        <w:rPr>
          <w:rFonts w:ascii="Trebuchet MS" w:hAnsi="Trebuchet MS"/>
          <w:i/>
          <w:sz w:val="20"/>
          <w:vertAlign w:val="subscript"/>
        </w:rPr>
        <w:t>it</w:t>
      </w:r>
      <w:r>
        <w:rPr>
          <w:rFonts w:ascii="Lucida Sans Unicode" w:hAnsi="Lucida Sans Unicode"/>
          <w:sz w:val="20"/>
          <w:vertAlign w:val="subscript"/>
        </w:rPr>
        <w:t>−</w:t>
      </w:r>
      <w:r>
        <w:rPr>
          <w:rFonts w:ascii="Century Gothic" w:hAnsi="Century Gothic"/>
          <w:sz w:val="20"/>
          <w:vertAlign w:val="subscript"/>
        </w:rPr>
        <w:t>1</w:t>
      </w:r>
      <w:r>
        <w:rPr>
          <w:rFonts w:ascii="Century Gothic" w:hAnsi="Century Gothic"/>
          <w:spacing w:val="22"/>
          <w:sz w:val="20"/>
          <w:vertAlign w:val="baseline"/>
        </w:rPr>
        <w:t> </w:t>
      </w:r>
      <w:r>
        <w:rPr>
          <w:sz w:val="20"/>
          <w:vertAlign w:val="baseline"/>
        </w:rPr>
        <w:t>+</w:t>
      </w:r>
      <w:r>
        <w:rPr>
          <w:spacing w:val="16"/>
          <w:sz w:val="20"/>
          <w:vertAlign w:val="baseline"/>
        </w:rPr>
        <w:t> </w:t>
      </w:r>
      <w:r>
        <w:rPr>
          <w:rFonts w:ascii="Bookman Old Style" w:hAnsi="Bookman Old Style"/>
          <w:b w:val="0"/>
          <w:i/>
          <w:sz w:val="20"/>
          <w:vertAlign w:val="baseline"/>
        </w:rPr>
        <w:t>C</w:t>
      </w:r>
      <w:r>
        <w:rPr>
          <w:rFonts w:ascii="Trebuchet MS" w:hAnsi="Trebuchet MS"/>
          <w:i/>
          <w:sz w:val="20"/>
          <w:vertAlign w:val="subscript"/>
        </w:rPr>
        <w:t>i</w:t>
      </w:r>
      <w:r>
        <w:rPr>
          <w:rFonts w:ascii="Trebuchet MS" w:hAnsi="Trebuchet MS"/>
          <w:i/>
          <w:spacing w:val="19"/>
          <w:sz w:val="20"/>
          <w:vertAlign w:val="baseline"/>
        </w:rPr>
        <w:t> </w:t>
      </w:r>
      <w:r>
        <w:rPr>
          <w:sz w:val="20"/>
          <w:vertAlign w:val="baseline"/>
        </w:rPr>
        <w:t>+</w:t>
      </w:r>
      <w:r>
        <w:rPr>
          <w:spacing w:val="16"/>
          <w:sz w:val="20"/>
          <w:vertAlign w:val="baseline"/>
        </w:rPr>
        <w:t> </w:t>
      </w:r>
      <w:r>
        <w:rPr>
          <w:rFonts w:ascii="Bookman Old Style" w:hAnsi="Bookman Old Style"/>
          <w:b w:val="0"/>
          <w:i/>
          <w:spacing w:val="-10"/>
          <w:sz w:val="20"/>
          <w:vertAlign w:val="baseline"/>
        </w:rPr>
        <w:t>e</w:t>
      </w:r>
    </w:p>
    <w:p>
      <w:pPr>
        <w:spacing w:line="232" w:lineRule="auto" w:before="140"/>
        <w:ind w:left="137" w:right="0" w:firstLine="298"/>
        <w:jc w:val="left"/>
        <w:rPr>
          <w:rFonts w:ascii="Bookman Old Style" w:hAnsi="Bookman Old Style"/>
          <w:b w:val="0"/>
          <w:i/>
          <w:sz w:val="20"/>
        </w:rPr>
      </w:pPr>
      <w:r>
        <w:rPr>
          <w:rFonts w:ascii="Bookman Old Style" w:hAnsi="Bookman Old Style"/>
          <w:b w:val="0"/>
          <w:i/>
          <w:sz w:val="20"/>
        </w:rPr>
        <w:t>Battle Deaths</w:t>
      </w:r>
      <w:r>
        <w:rPr>
          <w:rFonts w:ascii="Trebuchet MS" w:hAnsi="Trebuchet MS"/>
          <w:i/>
          <w:sz w:val="20"/>
          <w:vertAlign w:val="subscript"/>
        </w:rPr>
        <w:t>it</w:t>
      </w:r>
      <w:r>
        <w:rPr>
          <w:rFonts w:ascii="Trebuchet MS" w:hAnsi="Trebuchet MS"/>
          <w:i/>
          <w:spacing w:val="40"/>
          <w:sz w:val="20"/>
          <w:vertAlign w:val="baseline"/>
        </w:rPr>
        <w:t> </w:t>
      </w:r>
      <w:r>
        <w:rPr>
          <w:sz w:val="20"/>
          <w:vertAlign w:val="baseline"/>
        </w:rPr>
        <w:t>=</w:t>
      </w:r>
      <w:r>
        <w:rPr>
          <w:spacing w:val="40"/>
          <w:sz w:val="20"/>
          <w:vertAlign w:val="baseline"/>
        </w:rPr>
        <w:t> </w:t>
      </w:r>
      <w:r>
        <w:rPr>
          <w:rFonts w:ascii="Bookman Old Style" w:hAnsi="Bookman Old Style"/>
          <w:b w:val="0"/>
          <w:i/>
          <w:spacing w:val="9"/>
          <w:sz w:val="20"/>
          <w:vertAlign w:val="baseline"/>
        </w:rPr>
        <w:t>B</w:t>
      </w:r>
      <w:r>
        <w:rPr>
          <w:rFonts w:ascii="Century Gothic" w:hAnsi="Century Gothic"/>
          <w:spacing w:val="9"/>
          <w:sz w:val="20"/>
          <w:vertAlign w:val="subscript"/>
        </w:rPr>
        <w:t>0</w:t>
      </w:r>
      <w:r>
        <w:rPr>
          <w:spacing w:val="9"/>
          <w:sz w:val="20"/>
          <w:vertAlign w:val="baseline"/>
        </w:rPr>
        <w:t>+</w:t>
      </w:r>
      <w:r>
        <w:rPr>
          <w:rFonts w:ascii="Bookman Old Style" w:hAnsi="Bookman Old Style"/>
          <w:b w:val="0"/>
          <w:i/>
          <w:spacing w:val="9"/>
          <w:sz w:val="20"/>
          <w:vertAlign w:val="baseline"/>
        </w:rPr>
        <w:t>B</w:t>
      </w:r>
      <w:r>
        <w:rPr>
          <w:rFonts w:ascii="Century Gothic" w:hAnsi="Century Gothic"/>
          <w:spacing w:val="9"/>
          <w:sz w:val="20"/>
          <w:vertAlign w:val="subscript"/>
        </w:rPr>
        <w:t>1</w:t>
      </w:r>
      <w:r>
        <w:rPr>
          <w:rFonts w:ascii="Bookman Old Style" w:hAnsi="Bookman Old Style"/>
          <w:b w:val="0"/>
          <w:i/>
          <w:spacing w:val="9"/>
          <w:sz w:val="20"/>
          <w:vertAlign w:val="baseline"/>
        </w:rPr>
        <w:t>WTI </w:t>
      </w:r>
      <w:r>
        <w:rPr>
          <w:rFonts w:ascii="Bookman Old Style" w:hAnsi="Bookman Old Style"/>
          <w:b w:val="0"/>
          <w:i/>
          <w:sz w:val="20"/>
          <w:vertAlign w:val="baseline"/>
        </w:rPr>
        <w:t>Price </w:t>
      </w:r>
      <w:r>
        <w:rPr>
          <w:rFonts w:ascii="Bookman Old Style" w:hAnsi="Bookman Old Style"/>
          <w:b w:val="0"/>
          <w:i/>
          <w:spacing w:val="10"/>
          <w:w w:val="99"/>
          <w:sz w:val="20"/>
          <w:vertAlign w:val="baseline"/>
        </w:rPr>
        <w:t>C</w:t>
      </w:r>
      <w:r>
        <w:rPr>
          <w:rFonts w:ascii="Bookman Old Style" w:hAnsi="Bookman Old Style"/>
          <w:b w:val="0"/>
          <w:i/>
          <w:spacing w:val="-4"/>
          <w:w w:val="90"/>
          <w:sz w:val="20"/>
          <w:vertAlign w:val="baseline"/>
        </w:rPr>
        <w:t>han</w:t>
      </w:r>
      <w:r>
        <w:rPr>
          <w:rFonts w:ascii="Bookman Old Style" w:hAnsi="Bookman Old Style"/>
          <w:b w:val="0"/>
          <w:i/>
          <w:spacing w:val="3"/>
          <w:w w:val="90"/>
          <w:sz w:val="20"/>
          <w:vertAlign w:val="baseline"/>
        </w:rPr>
        <w:t>g</w:t>
      </w:r>
      <w:r>
        <w:rPr>
          <w:rFonts w:ascii="Bookman Old Style" w:hAnsi="Bookman Old Style"/>
          <w:b w:val="0"/>
          <w:i/>
          <w:spacing w:val="-4"/>
          <w:w w:val="86"/>
          <w:sz w:val="20"/>
          <w:vertAlign w:val="baseline"/>
        </w:rPr>
        <w:t>e</w:t>
      </w:r>
      <w:r>
        <w:rPr>
          <w:rFonts w:ascii="Trebuchet MS" w:hAnsi="Trebuchet MS"/>
          <w:i/>
          <w:spacing w:val="5"/>
          <w:w w:val="141"/>
          <w:sz w:val="20"/>
          <w:vertAlign w:val="subscript"/>
        </w:rPr>
        <w:t>i</w:t>
      </w:r>
      <w:r>
        <w:rPr>
          <w:rFonts w:ascii="Trebuchet MS" w:hAnsi="Trebuchet MS"/>
          <w:i/>
          <w:spacing w:val="6"/>
          <w:w w:val="110"/>
          <w:sz w:val="20"/>
          <w:vertAlign w:val="subscript"/>
        </w:rPr>
        <w:t>t</w:t>
      </w:r>
      <w:r>
        <w:rPr>
          <w:rFonts w:ascii="Lucida Sans Unicode" w:hAnsi="Lucida Sans Unicode"/>
          <w:spacing w:val="-4"/>
          <w:w w:val="63"/>
          <w:sz w:val="20"/>
          <w:vertAlign w:val="baseline"/>
        </w:rPr>
        <w:t>∗</w:t>
      </w:r>
      <w:r>
        <w:rPr>
          <w:rFonts w:ascii="Bookman Old Style" w:hAnsi="Bookman Old Style"/>
          <w:b w:val="0"/>
          <w:i/>
          <w:spacing w:val="1"/>
          <w:sz w:val="20"/>
          <w:vertAlign w:val="baseline"/>
        </w:rPr>
        <w:t>O</w:t>
      </w:r>
      <w:r>
        <w:rPr>
          <w:rFonts w:ascii="Bookman Old Style" w:hAnsi="Bookman Old Style"/>
          <w:b w:val="0"/>
          <w:i/>
          <w:spacing w:val="-4"/>
          <w:w w:val="115"/>
          <w:sz w:val="20"/>
          <w:vertAlign w:val="baseline"/>
        </w:rPr>
        <w:t>il</w:t>
      </w:r>
      <w:r>
        <w:rPr>
          <w:rFonts w:ascii="Bookman Old Style" w:hAnsi="Bookman Old Style"/>
          <w:b w:val="0"/>
          <w:i/>
          <w:spacing w:val="-1"/>
          <w:w w:val="99"/>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2</w:t>
      </w:r>
      <w:r>
        <w:rPr>
          <w:rFonts w:ascii="Bookman Old Style" w:hAnsi="Bookman Old Style"/>
          <w:b w:val="0"/>
          <w:i/>
          <w:sz w:val="20"/>
          <w:vertAlign w:val="baseline"/>
        </w:rPr>
        <w:t>WTI Price Change</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3</w:t>
      </w:r>
      <w:r>
        <w:rPr>
          <w:rFonts w:ascii="Bookman Old Style" w:hAnsi="Bookman Old Style"/>
          <w:b w:val="0"/>
          <w:i/>
          <w:sz w:val="20"/>
          <w:vertAlign w:val="baseline"/>
        </w:rPr>
        <w:t>Oil Rents</w:t>
      </w:r>
      <w:r>
        <w:rPr>
          <w:rFonts w:ascii="Trebuchet MS" w:hAnsi="Trebuchet MS"/>
          <w:i/>
          <w:sz w:val="20"/>
          <w:vertAlign w:val="subscript"/>
        </w:rPr>
        <w:t>it</w:t>
      </w:r>
      <w:r>
        <w:rPr>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4</w:t>
      </w:r>
      <w:r>
        <w:rPr>
          <w:rFonts w:ascii="Bookman Old Style" w:hAnsi="Bookman Old Style"/>
          <w:b w:val="0"/>
          <w:i/>
          <w:w w:val="105"/>
          <w:sz w:val="20"/>
          <w:vertAlign w:val="baseline"/>
        </w:rPr>
        <w:t>log</w:t>
      </w:r>
      <w:r>
        <w:rPr>
          <w:w w:val="105"/>
          <w:sz w:val="20"/>
          <w:vertAlign w:val="baseline"/>
        </w:rPr>
        <w:t>(</w:t>
      </w:r>
      <w:r>
        <w:rPr>
          <w:rFonts w:ascii="Bookman Old Style" w:hAnsi="Bookman Old Style"/>
          <w:b w:val="0"/>
          <w:i/>
          <w:w w:val="105"/>
          <w:sz w:val="20"/>
          <w:vertAlign w:val="baseline"/>
        </w:rPr>
        <w:t>population</w:t>
      </w:r>
      <w:r>
        <w:rPr>
          <w:w w:val="105"/>
          <w:sz w:val="20"/>
          <w:vertAlign w:val="baseline"/>
        </w:rPr>
        <w:t>)</w:t>
      </w:r>
      <w:r>
        <w:rPr>
          <w:rFonts w:ascii="Trebuchet MS" w:hAnsi="Trebuchet MS"/>
          <w:i/>
          <w:w w:val="105"/>
          <w:sz w:val="20"/>
          <w:vertAlign w:val="subscript"/>
        </w:rPr>
        <w:t>it</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5</w:t>
      </w:r>
      <w:r>
        <w:rPr>
          <w:rFonts w:ascii="Bookman Old Style" w:hAnsi="Bookman Old Style"/>
          <w:b w:val="0"/>
          <w:i/>
          <w:w w:val="105"/>
          <w:sz w:val="20"/>
          <w:vertAlign w:val="baseline"/>
        </w:rPr>
        <w:t>log</w:t>
      </w:r>
      <w:r>
        <w:rPr>
          <w:w w:val="105"/>
          <w:sz w:val="20"/>
          <w:vertAlign w:val="baseline"/>
        </w:rPr>
        <w:t>(</w:t>
      </w:r>
      <w:r>
        <w:rPr>
          <w:rFonts w:ascii="Bookman Old Style" w:hAnsi="Bookman Old Style"/>
          <w:b w:val="0"/>
          <w:i/>
          <w:w w:val="105"/>
          <w:sz w:val="20"/>
          <w:vertAlign w:val="baseline"/>
        </w:rPr>
        <w:t>GDP</w:t>
      </w:r>
      <w:r>
        <w:rPr>
          <w:rFonts w:ascii="Bookman Old Style" w:hAnsi="Bookman Old Style"/>
          <w:b w:val="0"/>
          <w:i/>
          <w:spacing w:val="-31"/>
          <w:w w:val="105"/>
          <w:sz w:val="20"/>
          <w:vertAlign w:val="baseline"/>
        </w:rPr>
        <w:t> </w:t>
      </w:r>
      <w:r>
        <w:rPr>
          <w:w w:val="105"/>
          <w:sz w:val="20"/>
          <w:vertAlign w:val="baseline"/>
        </w:rPr>
        <w:t>)</w:t>
      </w:r>
      <w:r>
        <w:rPr>
          <w:rFonts w:ascii="Trebuchet MS" w:hAnsi="Trebuchet MS"/>
          <w:i/>
          <w:w w:val="105"/>
          <w:sz w:val="20"/>
          <w:vertAlign w:val="subscript"/>
        </w:rPr>
        <w:t>it</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6</w:t>
      </w:r>
      <w:r>
        <w:rPr>
          <w:rFonts w:ascii="Bookman Old Style" w:hAnsi="Bookman Old Style"/>
          <w:b w:val="0"/>
          <w:i/>
          <w:w w:val="105"/>
          <w:sz w:val="20"/>
          <w:vertAlign w:val="baseline"/>
        </w:rPr>
        <w:t>BattleDeaths</w:t>
      </w:r>
      <w:r>
        <w:rPr>
          <w:rFonts w:ascii="Trebuchet MS" w:hAnsi="Trebuchet MS"/>
          <w:i/>
          <w:w w:val="105"/>
          <w:sz w:val="20"/>
          <w:vertAlign w:val="subscript"/>
        </w:rPr>
        <w:t>it</w:t>
      </w:r>
      <w:r>
        <w:rPr>
          <w:rFonts w:ascii="Lucida Sans Unicode" w:hAnsi="Lucida Sans Unicode"/>
          <w:w w:val="105"/>
          <w:sz w:val="20"/>
          <w:vertAlign w:val="subscript"/>
        </w:rPr>
        <w:t>−</w:t>
      </w:r>
      <w:r>
        <w:rPr>
          <w:rFonts w:ascii="Century Gothic" w:hAnsi="Century Gothic"/>
          <w:w w:val="105"/>
          <w:sz w:val="20"/>
          <w:vertAlign w:val="subscript"/>
        </w:rPr>
        <w:t>1</w:t>
      </w:r>
      <w:r>
        <w:rPr>
          <w:rFonts w:ascii="Century Gothic" w:hAnsi="Century Gothic"/>
          <w:w w:val="105"/>
          <w:sz w:val="20"/>
          <w:vertAlign w:val="baseline"/>
        </w:rPr>
        <w:t> </w:t>
      </w:r>
      <w:r>
        <w:rPr>
          <w:w w:val="105"/>
          <w:sz w:val="20"/>
          <w:vertAlign w:val="baseline"/>
        </w:rPr>
        <w:t>+ </w:t>
      </w:r>
      <w:r>
        <w:rPr>
          <w:rFonts w:ascii="Bookman Old Style" w:hAnsi="Bookman Old Style"/>
          <w:b w:val="0"/>
          <w:i/>
          <w:w w:val="105"/>
          <w:sz w:val="20"/>
          <w:vertAlign w:val="baseline"/>
        </w:rPr>
        <w:t>C</w:t>
      </w:r>
      <w:r>
        <w:rPr>
          <w:rFonts w:ascii="Trebuchet MS" w:hAnsi="Trebuchet MS"/>
          <w:i/>
          <w:w w:val="105"/>
          <w:sz w:val="20"/>
          <w:vertAlign w:val="subscript"/>
        </w:rPr>
        <w:t>i</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e</w:t>
      </w:r>
    </w:p>
    <w:p>
      <w:pPr>
        <w:spacing w:line="303" w:lineRule="exact" w:before="137"/>
        <w:ind w:left="436" w:right="0" w:firstLine="0"/>
        <w:jc w:val="left"/>
        <w:rPr>
          <w:sz w:val="20"/>
        </w:rPr>
      </w:pPr>
      <w:r>
        <w:rPr>
          <w:rFonts w:ascii="Bookman Old Style" w:hAnsi="Bookman Old Style"/>
          <w:b w:val="0"/>
          <w:i/>
          <w:sz w:val="20"/>
        </w:rPr>
        <w:t>Battle</w:t>
      </w:r>
      <w:r>
        <w:rPr>
          <w:rFonts w:ascii="Bookman Old Style" w:hAnsi="Bookman Old Style"/>
          <w:b w:val="0"/>
          <w:i/>
          <w:spacing w:val="39"/>
          <w:sz w:val="20"/>
        </w:rPr>
        <w:t> </w:t>
      </w:r>
      <w:r>
        <w:rPr>
          <w:rFonts w:ascii="Bookman Old Style" w:hAnsi="Bookman Old Style"/>
          <w:b w:val="0"/>
          <w:i/>
          <w:sz w:val="20"/>
        </w:rPr>
        <w:t>Deaths</w:t>
      </w:r>
      <w:r>
        <w:rPr>
          <w:rFonts w:ascii="Trebuchet MS" w:hAnsi="Trebuchet MS"/>
          <w:i/>
          <w:sz w:val="20"/>
          <w:vertAlign w:val="subscript"/>
        </w:rPr>
        <w:t>it</w:t>
      </w:r>
      <w:r>
        <w:rPr>
          <w:rFonts w:ascii="Trebuchet MS" w:hAnsi="Trebuchet MS"/>
          <w:i/>
          <w:spacing w:val="45"/>
          <w:sz w:val="20"/>
          <w:vertAlign w:val="baseline"/>
        </w:rPr>
        <w:t> </w:t>
      </w:r>
      <w:r>
        <w:rPr>
          <w:sz w:val="20"/>
          <w:vertAlign w:val="baseline"/>
        </w:rPr>
        <w:t>=</w:t>
      </w:r>
      <w:r>
        <w:rPr>
          <w:spacing w:val="46"/>
          <w:sz w:val="20"/>
          <w:vertAlign w:val="baseline"/>
        </w:rPr>
        <w:t> </w:t>
      </w:r>
      <w:r>
        <w:rPr>
          <w:rFonts w:ascii="Bookman Old Style" w:hAnsi="Bookman Old Style"/>
          <w:b w:val="0"/>
          <w:i/>
          <w:sz w:val="20"/>
          <w:vertAlign w:val="baseline"/>
        </w:rPr>
        <w:t>B</w:t>
      </w:r>
      <w:r>
        <w:rPr>
          <w:rFonts w:ascii="Century Gothic" w:hAnsi="Century Gothic"/>
          <w:sz w:val="20"/>
          <w:vertAlign w:val="subscript"/>
        </w:rPr>
        <w:t>0</w:t>
      </w:r>
      <w:r>
        <w:rPr>
          <w:rFonts w:ascii="Century Gothic" w:hAnsi="Century Gothic"/>
          <w:spacing w:val="19"/>
          <w:sz w:val="20"/>
          <w:vertAlign w:val="baseline"/>
        </w:rPr>
        <w:t> </w:t>
      </w:r>
      <w:r>
        <w:rPr>
          <w:sz w:val="20"/>
          <w:vertAlign w:val="baseline"/>
        </w:rPr>
        <w:t>+</w:t>
      </w:r>
      <w:r>
        <w:rPr>
          <w:spacing w:val="14"/>
          <w:sz w:val="20"/>
          <w:vertAlign w:val="baseline"/>
        </w:rPr>
        <w:t> </w:t>
      </w:r>
      <w:r>
        <w:rPr>
          <w:rFonts w:ascii="Bookman Old Style" w:hAnsi="Bookman Old Style"/>
          <w:b w:val="0"/>
          <w:i/>
          <w:spacing w:val="12"/>
          <w:sz w:val="20"/>
          <w:vertAlign w:val="baseline"/>
        </w:rPr>
        <w:t>B</w:t>
      </w:r>
      <w:r>
        <w:rPr>
          <w:rFonts w:ascii="Century Gothic" w:hAnsi="Century Gothic"/>
          <w:spacing w:val="12"/>
          <w:sz w:val="20"/>
          <w:vertAlign w:val="subscript"/>
        </w:rPr>
        <w:t>1</w:t>
      </w:r>
      <w:r>
        <w:rPr>
          <w:rFonts w:ascii="Bookman Old Style" w:hAnsi="Bookman Old Style"/>
          <w:b w:val="0"/>
          <w:i/>
          <w:spacing w:val="12"/>
          <w:sz w:val="20"/>
          <w:vertAlign w:val="baseline"/>
        </w:rPr>
        <w:t>WTI</w:t>
      </w:r>
      <w:r>
        <w:rPr>
          <w:rFonts w:ascii="Bookman Old Style" w:hAnsi="Bookman Old Style"/>
          <w:b w:val="0"/>
          <w:i/>
          <w:spacing w:val="-4"/>
          <w:sz w:val="20"/>
          <w:vertAlign w:val="baseline"/>
        </w:rPr>
        <w:t> </w:t>
      </w:r>
      <w:r>
        <w:rPr>
          <w:rFonts w:ascii="Bookman Old Style" w:hAnsi="Bookman Old Style"/>
          <w:b w:val="0"/>
          <w:i/>
          <w:sz w:val="20"/>
          <w:vertAlign w:val="baseline"/>
        </w:rPr>
        <w:t>Price</w:t>
      </w:r>
      <w:r>
        <w:rPr>
          <w:rFonts w:ascii="Bookman Old Style" w:hAnsi="Bookman Old Style"/>
          <w:b w:val="0"/>
          <w:i/>
          <w:spacing w:val="-22"/>
          <w:sz w:val="20"/>
          <w:vertAlign w:val="baseline"/>
        </w:rPr>
        <w:t> </w:t>
      </w:r>
      <w:r>
        <w:rPr>
          <w:rFonts w:ascii="Bookman Old Style" w:hAnsi="Bookman Old Style"/>
          <w:b w:val="0"/>
          <w:i/>
          <w:sz w:val="20"/>
          <w:vertAlign w:val="baseline"/>
        </w:rPr>
        <w:t>Change</w:t>
      </w:r>
      <w:r>
        <w:rPr>
          <w:rFonts w:ascii="Trebuchet MS" w:hAnsi="Trebuchet MS"/>
          <w:i/>
          <w:sz w:val="20"/>
          <w:vertAlign w:val="subscript"/>
        </w:rPr>
        <w:t>i</w:t>
      </w:r>
      <w:r>
        <w:rPr>
          <w:rFonts w:ascii="Century Gothic" w:hAnsi="Century Gothic"/>
          <w:sz w:val="20"/>
          <w:vertAlign w:val="subscript"/>
        </w:rPr>
        <w:t>(</w:t>
      </w:r>
      <w:r>
        <w:rPr>
          <w:rFonts w:ascii="Trebuchet MS" w:hAnsi="Trebuchet MS"/>
          <w:i/>
          <w:sz w:val="20"/>
          <w:vertAlign w:val="subscript"/>
        </w:rPr>
        <w:t>t</w:t>
      </w:r>
      <w:r>
        <w:rPr>
          <w:rFonts w:ascii="Lucida Sans Unicode" w:hAnsi="Lucida Sans Unicode"/>
          <w:sz w:val="20"/>
          <w:vertAlign w:val="subscript"/>
        </w:rPr>
        <w:t>−</w:t>
      </w:r>
      <w:r>
        <w:rPr>
          <w:rFonts w:ascii="Century Gothic" w:hAnsi="Century Gothic"/>
          <w:sz w:val="20"/>
          <w:vertAlign w:val="subscript"/>
        </w:rPr>
        <w:t>1)</w:t>
      </w:r>
      <w:r>
        <w:rPr>
          <w:rFonts w:ascii="Century Gothic" w:hAnsi="Century Gothic"/>
          <w:spacing w:val="19"/>
          <w:sz w:val="20"/>
          <w:vertAlign w:val="baseline"/>
        </w:rPr>
        <w:t> </w:t>
      </w:r>
      <w:r>
        <w:rPr>
          <w:rFonts w:ascii="Lucida Sans Unicode" w:hAnsi="Lucida Sans Unicode"/>
          <w:sz w:val="20"/>
          <w:vertAlign w:val="baseline"/>
        </w:rPr>
        <w:t>∗</w:t>
      </w:r>
      <w:r>
        <w:rPr>
          <w:rFonts w:ascii="Lucida Sans Unicode" w:hAnsi="Lucida Sans Unicode"/>
          <w:spacing w:val="-1"/>
          <w:sz w:val="20"/>
          <w:vertAlign w:val="baseline"/>
        </w:rPr>
        <w:t> </w:t>
      </w:r>
      <w:r>
        <w:rPr>
          <w:rFonts w:ascii="Bookman Old Style" w:hAnsi="Bookman Old Style"/>
          <w:b w:val="0"/>
          <w:i/>
          <w:sz w:val="20"/>
          <w:vertAlign w:val="baseline"/>
        </w:rPr>
        <w:t>Oil</w:t>
      </w:r>
      <w:r>
        <w:rPr>
          <w:rFonts w:ascii="Bookman Old Style" w:hAnsi="Bookman Old Style"/>
          <w:b w:val="0"/>
          <w:i/>
          <w:spacing w:val="-17"/>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rFonts w:ascii="Trebuchet MS" w:hAnsi="Trebuchet MS"/>
          <w:i/>
          <w:spacing w:val="14"/>
          <w:sz w:val="20"/>
          <w:vertAlign w:val="baseline"/>
        </w:rPr>
        <w:t> </w:t>
      </w:r>
      <w:r>
        <w:rPr>
          <w:sz w:val="20"/>
          <w:vertAlign w:val="baseline"/>
        </w:rPr>
        <w:t>+</w:t>
      </w:r>
      <w:r>
        <w:rPr>
          <w:spacing w:val="15"/>
          <w:sz w:val="20"/>
          <w:vertAlign w:val="baseline"/>
        </w:rPr>
        <w:t> </w:t>
      </w:r>
      <w:r>
        <w:rPr>
          <w:rFonts w:ascii="Bookman Old Style" w:hAnsi="Bookman Old Style"/>
          <w:b w:val="0"/>
          <w:i/>
          <w:spacing w:val="12"/>
          <w:sz w:val="20"/>
          <w:vertAlign w:val="baseline"/>
        </w:rPr>
        <w:t>B</w:t>
      </w:r>
      <w:r>
        <w:rPr>
          <w:rFonts w:ascii="Century Gothic" w:hAnsi="Century Gothic"/>
          <w:spacing w:val="12"/>
          <w:sz w:val="20"/>
          <w:vertAlign w:val="subscript"/>
        </w:rPr>
        <w:t>2</w:t>
      </w:r>
      <w:r>
        <w:rPr>
          <w:rFonts w:ascii="Bookman Old Style" w:hAnsi="Bookman Old Style"/>
          <w:b w:val="0"/>
          <w:i/>
          <w:spacing w:val="12"/>
          <w:sz w:val="20"/>
          <w:vertAlign w:val="baseline"/>
        </w:rPr>
        <w:t>WTI</w:t>
      </w:r>
      <w:r>
        <w:rPr>
          <w:rFonts w:ascii="Bookman Old Style" w:hAnsi="Bookman Old Style"/>
          <w:b w:val="0"/>
          <w:i/>
          <w:spacing w:val="-5"/>
          <w:sz w:val="20"/>
          <w:vertAlign w:val="baseline"/>
        </w:rPr>
        <w:t> </w:t>
      </w:r>
      <w:r>
        <w:rPr>
          <w:rFonts w:ascii="Bookman Old Style" w:hAnsi="Bookman Old Style"/>
          <w:b w:val="0"/>
          <w:i/>
          <w:sz w:val="20"/>
          <w:vertAlign w:val="baseline"/>
        </w:rPr>
        <w:t>Price</w:t>
      </w:r>
      <w:r>
        <w:rPr>
          <w:rFonts w:ascii="Bookman Old Style" w:hAnsi="Bookman Old Style"/>
          <w:b w:val="0"/>
          <w:i/>
          <w:spacing w:val="-22"/>
          <w:sz w:val="20"/>
          <w:vertAlign w:val="baseline"/>
        </w:rPr>
        <w:t> </w:t>
      </w:r>
      <w:r>
        <w:rPr>
          <w:rFonts w:ascii="Bookman Old Style" w:hAnsi="Bookman Old Style"/>
          <w:b w:val="0"/>
          <w:i/>
          <w:sz w:val="20"/>
          <w:vertAlign w:val="baseline"/>
        </w:rPr>
        <w:t>Change</w:t>
      </w:r>
      <w:r>
        <w:rPr>
          <w:rFonts w:ascii="Trebuchet MS" w:hAnsi="Trebuchet MS"/>
          <w:i/>
          <w:sz w:val="20"/>
          <w:vertAlign w:val="subscript"/>
        </w:rPr>
        <w:t>i</w:t>
      </w:r>
      <w:r>
        <w:rPr>
          <w:rFonts w:ascii="Century Gothic" w:hAnsi="Century Gothic"/>
          <w:sz w:val="20"/>
          <w:vertAlign w:val="subscript"/>
        </w:rPr>
        <w:t>(</w:t>
      </w:r>
      <w:r>
        <w:rPr>
          <w:rFonts w:ascii="Trebuchet MS" w:hAnsi="Trebuchet MS"/>
          <w:i/>
          <w:sz w:val="20"/>
          <w:vertAlign w:val="subscript"/>
        </w:rPr>
        <w:t>t</w:t>
      </w:r>
      <w:r>
        <w:rPr>
          <w:rFonts w:ascii="Lucida Sans Unicode" w:hAnsi="Lucida Sans Unicode"/>
          <w:sz w:val="20"/>
          <w:vertAlign w:val="subscript"/>
        </w:rPr>
        <w:t>−</w:t>
      </w:r>
      <w:r>
        <w:rPr>
          <w:rFonts w:ascii="Century Gothic" w:hAnsi="Century Gothic"/>
          <w:sz w:val="20"/>
          <w:vertAlign w:val="subscript"/>
        </w:rPr>
        <w:t>1)</w:t>
      </w:r>
      <w:r>
        <w:rPr>
          <w:rFonts w:ascii="Century Gothic" w:hAnsi="Century Gothic"/>
          <w:spacing w:val="19"/>
          <w:sz w:val="20"/>
          <w:vertAlign w:val="baseline"/>
        </w:rPr>
        <w:t> </w:t>
      </w:r>
      <w:r>
        <w:rPr>
          <w:spacing w:val="-10"/>
          <w:sz w:val="20"/>
          <w:vertAlign w:val="baseline"/>
        </w:rPr>
        <w:t>+</w:t>
      </w:r>
    </w:p>
    <w:p>
      <w:pPr>
        <w:spacing w:line="303" w:lineRule="exact" w:before="0"/>
        <w:ind w:left="137" w:right="0" w:firstLine="0"/>
        <w:jc w:val="left"/>
        <w:rPr>
          <w:rFonts w:ascii="Bookman Old Style" w:hAnsi="Bookman Old Style"/>
          <w:b w:val="0"/>
          <w:i/>
          <w:sz w:val="20"/>
        </w:rPr>
      </w:pPr>
      <w:r>
        <w:rPr>
          <w:rFonts w:ascii="Bookman Old Style" w:hAnsi="Bookman Old Style"/>
          <w:b w:val="0"/>
          <w:i/>
          <w:sz w:val="20"/>
        </w:rPr>
        <w:t>B</w:t>
      </w:r>
      <w:r>
        <w:rPr>
          <w:rFonts w:ascii="Century Gothic" w:hAnsi="Century Gothic"/>
          <w:sz w:val="20"/>
          <w:vertAlign w:val="subscript"/>
        </w:rPr>
        <w:t>3</w:t>
      </w:r>
      <w:r>
        <w:rPr>
          <w:rFonts w:ascii="Bookman Old Style" w:hAnsi="Bookman Old Style"/>
          <w:b w:val="0"/>
          <w:i/>
          <w:sz w:val="20"/>
          <w:vertAlign w:val="baseline"/>
        </w:rPr>
        <w:t>Oil</w:t>
      </w:r>
      <w:r>
        <w:rPr>
          <w:rFonts w:ascii="Bookman Old Style" w:hAnsi="Bookman Old Style"/>
          <w:b w:val="0"/>
          <w:i/>
          <w:spacing w:val="-6"/>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rFonts w:ascii="Trebuchet MS" w:hAnsi="Trebuchet MS"/>
          <w:i/>
          <w:spacing w:val="20"/>
          <w:sz w:val="20"/>
          <w:vertAlign w:val="baseline"/>
        </w:rPr>
        <w:t> </w:t>
      </w:r>
      <w:r>
        <w:rPr>
          <w:sz w:val="20"/>
          <w:vertAlign w:val="baseline"/>
        </w:rPr>
        <w:t>+</w:t>
      </w:r>
      <w:r>
        <w:rPr>
          <w:spacing w:val="17"/>
          <w:sz w:val="20"/>
          <w:vertAlign w:val="baseline"/>
        </w:rPr>
        <w:t> </w:t>
      </w:r>
      <w:r>
        <w:rPr>
          <w:rFonts w:ascii="Bookman Old Style" w:hAnsi="Bookman Old Style"/>
          <w:b w:val="0"/>
          <w:i/>
          <w:sz w:val="20"/>
          <w:vertAlign w:val="baseline"/>
        </w:rPr>
        <w:t>B</w:t>
      </w:r>
      <w:r>
        <w:rPr>
          <w:rFonts w:ascii="Century Gothic" w:hAnsi="Century Gothic"/>
          <w:sz w:val="20"/>
          <w:vertAlign w:val="subscript"/>
        </w:rPr>
        <w:t>4</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population</w:t>
      </w:r>
      <w:r>
        <w:rPr>
          <w:sz w:val="20"/>
          <w:vertAlign w:val="baseline"/>
        </w:rPr>
        <w:t>)</w:t>
      </w:r>
      <w:r>
        <w:rPr>
          <w:rFonts w:ascii="Trebuchet MS" w:hAnsi="Trebuchet MS"/>
          <w:i/>
          <w:sz w:val="20"/>
          <w:vertAlign w:val="subscript"/>
        </w:rPr>
        <w:t>it</w:t>
      </w:r>
      <w:r>
        <w:rPr>
          <w:rFonts w:ascii="Trebuchet MS" w:hAnsi="Trebuchet MS"/>
          <w:i/>
          <w:spacing w:val="20"/>
          <w:sz w:val="20"/>
          <w:vertAlign w:val="baseline"/>
        </w:rPr>
        <w:t> </w:t>
      </w:r>
      <w:r>
        <w:rPr>
          <w:sz w:val="20"/>
          <w:vertAlign w:val="baseline"/>
        </w:rPr>
        <w:t>+</w:t>
      </w:r>
      <w:r>
        <w:rPr>
          <w:spacing w:val="17"/>
          <w:sz w:val="20"/>
          <w:vertAlign w:val="baseline"/>
        </w:rPr>
        <w:t> </w:t>
      </w:r>
      <w:r>
        <w:rPr>
          <w:rFonts w:ascii="Bookman Old Style" w:hAnsi="Bookman Old Style"/>
          <w:b w:val="0"/>
          <w:i/>
          <w:sz w:val="20"/>
          <w:vertAlign w:val="baseline"/>
        </w:rPr>
        <w:t>B</w:t>
      </w:r>
      <w:r>
        <w:rPr>
          <w:rFonts w:ascii="Century Gothic" w:hAnsi="Century Gothic"/>
          <w:sz w:val="20"/>
          <w:vertAlign w:val="subscript"/>
        </w:rPr>
        <w:t>5</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GDP</w:t>
      </w:r>
      <w:r>
        <w:rPr>
          <w:rFonts w:ascii="Bookman Old Style" w:hAnsi="Bookman Old Style"/>
          <w:b w:val="0"/>
          <w:i/>
          <w:spacing w:val="-20"/>
          <w:sz w:val="20"/>
          <w:vertAlign w:val="baseline"/>
        </w:rPr>
        <w:t> </w:t>
      </w:r>
      <w:r>
        <w:rPr>
          <w:sz w:val="20"/>
          <w:vertAlign w:val="baseline"/>
        </w:rPr>
        <w:t>)</w:t>
      </w:r>
      <w:r>
        <w:rPr>
          <w:rFonts w:ascii="Trebuchet MS" w:hAnsi="Trebuchet MS"/>
          <w:i/>
          <w:sz w:val="20"/>
          <w:vertAlign w:val="subscript"/>
        </w:rPr>
        <w:t>it</w:t>
      </w:r>
      <w:r>
        <w:rPr>
          <w:rFonts w:ascii="Trebuchet MS" w:hAnsi="Trebuchet MS"/>
          <w:i/>
          <w:spacing w:val="19"/>
          <w:sz w:val="20"/>
          <w:vertAlign w:val="baseline"/>
        </w:rPr>
        <w:t> </w:t>
      </w:r>
      <w:r>
        <w:rPr>
          <w:sz w:val="20"/>
          <w:vertAlign w:val="baseline"/>
        </w:rPr>
        <w:t>+</w:t>
      </w:r>
      <w:r>
        <w:rPr>
          <w:spacing w:val="18"/>
          <w:sz w:val="20"/>
          <w:vertAlign w:val="baseline"/>
        </w:rPr>
        <w:t> </w:t>
      </w:r>
      <w:r>
        <w:rPr>
          <w:rFonts w:ascii="Bookman Old Style" w:hAnsi="Bookman Old Style"/>
          <w:b w:val="0"/>
          <w:i/>
          <w:sz w:val="20"/>
          <w:vertAlign w:val="baseline"/>
        </w:rPr>
        <w:t>B</w:t>
      </w:r>
      <w:r>
        <w:rPr>
          <w:rFonts w:ascii="Century Gothic" w:hAnsi="Century Gothic"/>
          <w:sz w:val="20"/>
          <w:vertAlign w:val="subscript"/>
        </w:rPr>
        <w:t>6</w:t>
      </w:r>
      <w:r>
        <w:rPr>
          <w:rFonts w:ascii="Bookman Old Style" w:hAnsi="Bookman Old Style"/>
          <w:b w:val="0"/>
          <w:i/>
          <w:sz w:val="20"/>
          <w:vertAlign w:val="baseline"/>
        </w:rPr>
        <w:t>BattleDeaths</w:t>
      </w:r>
      <w:r>
        <w:rPr>
          <w:rFonts w:ascii="Trebuchet MS" w:hAnsi="Trebuchet MS"/>
          <w:i/>
          <w:sz w:val="20"/>
          <w:vertAlign w:val="subscript"/>
        </w:rPr>
        <w:t>it</w:t>
      </w:r>
      <w:r>
        <w:rPr>
          <w:rFonts w:ascii="Lucida Sans Unicode" w:hAnsi="Lucida Sans Unicode"/>
          <w:sz w:val="20"/>
          <w:vertAlign w:val="subscript"/>
        </w:rPr>
        <w:t>−</w:t>
      </w:r>
      <w:r>
        <w:rPr>
          <w:rFonts w:ascii="Century Gothic" w:hAnsi="Century Gothic"/>
          <w:sz w:val="20"/>
          <w:vertAlign w:val="subscript"/>
        </w:rPr>
        <w:t>1</w:t>
      </w:r>
      <w:r>
        <w:rPr>
          <w:rFonts w:ascii="Century Gothic" w:hAnsi="Century Gothic"/>
          <w:spacing w:val="23"/>
          <w:sz w:val="20"/>
          <w:vertAlign w:val="baseline"/>
        </w:rPr>
        <w:t> </w:t>
      </w:r>
      <w:r>
        <w:rPr>
          <w:sz w:val="20"/>
          <w:vertAlign w:val="baseline"/>
        </w:rPr>
        <w:t>+</w:t>
      </w:r>
      <w:r>
        <w:rPr>
          <w:spacing w:val="17"/>
          <w:sz w:val="20"/>
          <w:vertAlign w:val="baseline"/>
        </w:rPr>
        <w:t> </w:t>
      </w:r>
      <w:r>
        <w:rPr>
          <w:rFonts w:ascii="Bookman Old Style" w:hAnsi="Bookman Old Style"/>
          <w:b w:val="0"/>
          <w:i/>
          <w:sz w:val="20"/>
          <w:vertAlign w:val="baseline"/>
        </w:rPr>
        <w:t>C</w:t>
      </w:r>
      <w:r>
        <w:rPr>
          <w:rFonts w:ascii="Trebuchet MS" w:hAnsi="Trebuchet MS"/>
          <w:i/>
          <w:sz w:val="20"/>
          <w:vertAlign w:val="subscript"/>
        </w:rPr>
        <w:t>i</w:t>
      </w:r>
      <w:r>
        <w:rPr>
          <w:rFonts w:ascii="Trebuchet MS" w:hAnsi="Trebuchet MS"/>
          <w:i/>
          <w:spacing w:val="20"/>
          <w:sz w:val="20"/>
          <w:vertAlign w:val="baseline"/>
        </w:rPr>
        <w:t> </w:t>
      </w:r>
      <w:r>
        <w:rPr>
          <w:sz w:val="20"/>
          <w:vertAlign w:val="baseline"/>
        </w:rPr>
        <w:t>+</w:t>
      </w:r>
      <w:r>
        <w:rPr>
          <w:spacing w:val="17"/>
          <w:sz w:val="20"/>
          <w:vertAlign w:val="baseline"/>
        </w:rPr>
        <w:t> </w:t>
      </w:r>
      <w:r>
        <w:rPr>
          <w:rFonts w:ascii="Bookman Old Style" w:hAnsi="Bookman Old Style"/>
          <w:b w:val="0"/>
          <w:i/>
          <w:spacing w:val="-10"/>
          <w:sz w:val="20"/>
          <w:vertAlign w:val="baseline"/>
        </w:rPr>
        <w:t>e</w:t>
      </w:r>
    </w:p>
    <w:p>
      <w:pPr>
        <w:pStyle w:val="BodyText"/>
        <w:spacing w:line="316" w:lineRule="auto" w:before="169"/>
        <w:ind w:left="137" w:right="1792" w:firstLine="298"/>
        <w:jc w:val="both"/>
      </w:pPr>
      <w:r>
        <w:rPr/>
        <w:t>Below</w:t>
      </w:r>
      <w:r>
        <w:rPr>
          <w:spacing w:val="-13"/>
        </w:rPr>
        <w:t> </w:t>
      </w:r>
      <w:r>
        <w:rPr/>
        <w:t>is</w:t>
      </w:r>
      <w:r>
        <w:rPr>
          <w:spacing w:val="-12"/>
        </w:rPr>
        <w:t> </w:t>
      </w:r>
      <w:r>
        <w:rPr/>
        <w:t>a</w:t>
      </w:r>
      <w:r>
        <w:rPr>
          <w:spacing w:val="-12"/>
        </w:rPr>
        <w:t> </w:t>
      </w:r>
      <w:r>
        <w:rPr/>
        <w:t>table</w:t>
      </w:r>
      <w:r>
        <w:rPr>
          <w:spacing w:val="-12"/>
        </w:rPr>
        <w:t> </w:t>
      </w:r>
      <w:r>
        <w:rPr/>
        <w:t>presenting</w:t>
      </w:r>
      <w:r>
        <w:rPr>
          <w:spacing w:val="-12"/>
        </w:rPr>
        <w:t> </w:t>
      </w:r>
      <w:r>
        <w:rPr/>
        <w:t>the</w:t>
      </w:r>
      <w:r>
        <w:rPr>
          <w:spacing w:val="-12"/>
        </w:rPr>
        <w:t> </w:t>
      </w:r>
      <w:r>
        <w:rPr/>
        <w:t>results</w:t>
      </w:r>
      <w:r>
        <w:rPr>
          <w:spacing w:val="-12"/>
        </w:rPr>
        <w:t> </w:t>
      </w:r>
      <w:r>
        <w:rPr/>
        <w:t>of</w:t>
      </w:r>
      <w:r>
        <w:rPr>
          <w:spacing w:val="-12"/>
        </w:rPr>
        <w:t> </w:t>
      </w:r>
      <w:r>
        <w:rPr/>
        <w:t>the</w:t>
      </w:r>
      <w:r>
        <w:rPr>
          <w:spacing w:val="-12"/>
        </w:rPr>
        <w:t> </w:t>
      </w:r>
      <w:r>
        <w:rPr/>
        <w:t>formal</w:t>
      </w:r>
      <w:r>
        <w:rPr>
          <w:spacing w:val="-12"/>
        </w:rPr>
        <w:t> </w:t>
      </w:r>
      <w:r>
        <w:rPr/>
        <w:t>model</w:t>
      </w:r>
      <w:r>
        <w:rPr>
          <w:spacing w:val="-12"/>
        </w:rPr>
        <w:t> </w:t>
      </w:r>
      <w:r>
        <w:rPr/>
        <w:t>used</w:t>
      </w:r>
      <w:r>
        <w:rPr>
          <w:spacing w:val="-12"/>
        </w:rPr>
        <w:t> </w:t>
      </w:r>
      <w:r>
        <w:rPr/>
        <w:t>for</w:t>
      </w:r>
      <w:r>
        <w:rPr>
          <w:spacing w:val="-12"/>
        </w:rPr>
        <w:t> </w:t>
      </w:r>
      <w:r>
        <w:rPr/>
        <w:t>the</w:t>
      </w:r>
      <w:r>
        <w:rPr>
          <w:spacing w:val="-12"/>
        </w:rPr>
        <w:t> </w:t>
      </w:r>
      <w:r>
        <w:rPr/>
        <w:t>illustration</w:t>
      </w:r>
      <w:r>
        <w:rPr>
          <w:spacing w:val="-12"/>
        </w:rPr>
        <w:t> </w:t>
      </w:r>
      <w:r>
        <w:rPr/>
        <w:t>in</w:t>
      </w:r>
      <w:r>
        <w:rPr>
          <w:spacing w:val="-12"/>
        </w:rPr>
        <w:t> </w:t>
      </w:r>
      <w:r>
        <w:rPr/>
        <w:t>Figure</w:t>
      </w:r>
      <w:r>
        <w:rPr>
          <w:spacing w:val="-13"/>
        </w:rPr>
        <w:t> </w:t>
      </w:r>
      <w:r>
        <w:rPr/>
        <w:t>2,</w:t>
      </w:r>
      <w:r>
        <w:rPr>
          <w:spacing w:val="-12"/>
        </w:rPr>
        <w:t> </w:t>
      </w:r>
      <w:r>
        <w:rPr/>
        <w:t>which uses monthly data instead of yearly data.</w:t>
      </w:r>
    </w:p>
    <w:p>
      <w:pPr>
        <w:spacing w:after="0" w:line="316" w:lineRule="auto"/>
        <w:jc w:val="both"/>
        <w:sectPr>
          <w:pgSz w:w="12240" w:h="15840"/>
          <w:pgMar w:header="0" w:footer="1252" w:top="1040" w:bottom="1440" w:left="1280" w:right="40"/>
        </w:sectPr>
      </w:pPr>
    </w:p>
    <w:p>
      <w:pPr>
        <w:pStyle w:val="BodyText"/>
      </w:pPr>
    </w:p>
    <w:p>
      <w:pPr>
        <w:pStyle w:val="BodyText"/>
      </w:pPr>
    </w:p>
    <w:p>
      <w:pPr>
        <w:pStyle w:val="BodyText"/>
      </w:pPr>
    </w:p>
    <w:p>
      <w:pPr>
        <w:pStyle w:val="BodyText"/>
      </w:pPr>
    </w:p>
    <w:p>
      <w:pPr>
        <w:pStyle w:val="BodyText"/>
      </w:pPr>
    </w:p>
    <w:p>
      <w:pPr>
        <w:pStyle w:val="BodyText"/>
        <w:spacing w:before="3"/>
        <w:rPr>
          <w:sz w:val="18"/>
        </w:rPr>
      </w:pPr>
    </w:p>
    <w:p>
      <w:pPr>
        <w:pStyle w:val="BodyText"/>
        <w:ind w:left="2286"/>
      </w:pPr>
      <w:r>
        <w:rPr/>
        <w:t>Oil</w:t>
      </w:r>
      <w:r>
        <w:rPr>
          <w:spacing w:val="4"/>
        </w:rPr>
        <w:t> </w:t>
      </w:r>
      <w:r>
        <w:rPr/>
        <w:t>Prices</w:t>
      </w:r>
      <w:r>
        <w:rPr>
          <w:spacing w:val="4"/>
        </w:rPr>
        <w:t> </w:t>
      </w:r>
      <w:r>
        <w:rPr/>
        <w:t>and</w:t>
      </w:r>
      <w:r>
        <w:rPr>
          <w:spacing w:val="5"/>
        </w:rPr>
        <w:t> </w:t>
      </w:r>
      <w:r>
        <w:rPr/>
        <w:t>Conflict</w:t>
      </w:r>
      <w:r>
        <w:rPr>
          <w:spacing w:val="4"/>
        </w:rPr>
        <w:t> </w:t>
      </w:r>
      <w:r>
        <w:rPr/>
        <w:t>Intensity</w:t>
      </w:r>
      <w:r>
        <w:rPr>
          <w:spacing w:val="4"/>
        </w:rPr>
        <w:t> </w:t>
      </w:r>
      <w:r>
        <w:rPr/>
        <w:t>in</w:t>
      </w:r>
      <w:r>
        <w:rPr>
          <w:spacing w:val="5"/>
        </w:rPr>
        <w:t> </w:t>
      </w:r>
      <w:r>
        <w:rPr/>
        <w:t>all</w:t>
      </w:r>
      <w:r>
        <w:rPr>
          <w:spacing w:val="4"/>
        </w:rPr>
        <w:t> </w:t>
      </w:r>
      <w:r>
        <w:rPr/>
        <w:t>Conflict</w:t>
      </w:r>
      <w:r>
        <w:rPr>
          <w:spacing w:val="4"/>
        </w:rPr>
        <w:t> </w:t>
      </w:r>
      <w:r>
        <w:rPr>
          <w:spacing w:val="-2"/>
        </w:rPr>
        <w:t>States</w:t>
      </w:r>
    </w:p>
    <w:p>
      <w:pPr>
        <w:pStyle w:val="BodyText"/>
        <w:spacing w:before="3"/>
        <w:rPr>
          <w:sz w:val="25"/>
        </w:rPr>
      </w:pPr>
      <w:r>
        <w:rPr/>
        <w:pict>
          <v:group style="position:absolute;margin-left:70.865997pt;margin-top:15.598098pt;width:262.7pt;height:2.4pt;mso-position-horizontal-relative:page;mso-position-vertical-relative:paragraph;z-index:-15714816;mso-wrap-distance-left:0;mso-wrap-distance-right:0" id="docshapegroup28" coordorigin="1417,312" coordsize="5254,48">
            <v:line style="position:absolute" from="1417,316" to="6671,316" stroked="true" strokeweight=".398pt" strokecolor="#000000">
              <v:stroke dashstyle="solid"/>
            </v:line>
            <v:line style="position:absolute" from="1417,356" to="6671,356" stroked="true" strokeweight=".398pt" strokecolor="#000000">
              <v:stroke dashstyle="solid"/>
            </v:line>
            <w10:wrap type="topAndBottom"/>
          </v:group>
        </w:pict>
      </w:r>
    </w:p>
    <w:p>
      <w:pPr>
        <w:spacing w:before="63" w:after="30"/>
        <w:ind w:left="1316" w:right="4181" w:firstLine="0"/>
        <w:jc w:val="center"/>
        <w:rPr>
          <w:rFonts w:ascii="Bookman Old Style"/>
          <w:b w:val="0"/>
          <w:i/>
          <w:sz w:val="20"/>
        </w:rPr>
      </w:pPr>
      <w:r>
        <w:rPr>
          <w:rFonts w:ascii="Bookman Old Style"/>
          <w:b w:val="0"/>
          <w:i/>
          <w:spacing w:val="-2"/>
          <w:w w:val="90"/>
          <w:sz w:val="20"/>
        </w:rPr>
        <w:t>Dependent</w:t>
      </w:r>
      <w:r>
        <w:rPr>
          <w:rFonts w:ascii="Bookman Old Style"/>
          <w:b w:val="0"/>
          <w:i/>
          <w:spacing w:val="1"/>
          <w:sz w:val="20"/>
        </w:rPr>
        <w:t> </w:t>
      </w:r>
      <w:r>
        <w:rPr>
          <w:rFonts w:ascii="Bookman Old Style"/>
          <w:b w:val="0"/>
          <w:i/>
          <w:spacing w:val="-2"/>
          <w:sz w:val="20"/>
        </w:rPr>
        <w:t>variable:</w:t>
      </w:r>
    </w:p>
    <w:p>
      <w:pPr>
        <w:pStyle w:val="BodyText"/>
        <w:spacing w:line="20" w:lineRule="exact"/>
        <w:ind w:left="2673"/>
        <w:rPr>
          <w:rFonts w:ascii="Bookman Old Style"/>
          <w:sz w:val="2"/>
        </w:rPr>
      </w:pPr>
      <w:r>
        <w:rPr>
          <w:rFonts w:ascii="Bookman Old Style"/>
          <w:sz w:val="2"/>
        </w:rPr>
        <w:pict>
          <v:group style="width:135.9pt;height:.4pt;mso-position-horizontal-relative:char;mso-position-vertical-relative:line" id="docshapegroup29" coordorigin="0,0" coordsize="2718,8">
            <v:line style="position:absolute" from="0,4" to="2717,4" stroked="true" strokeweight=".398pt" strokecolor="#000000">
              <v:stroke dashstyle="solid"/>
            </v:line>
          </v:group>
        </w:pict>
      </w:r>
      <w:r>
        <w:rPr>
          <w:rFonts w:ascii="Bookman Old Style"/>
          <w:sz w:val="2"/>
        </w:rPr>
      </w:r>
    </w:p>
    <w:p>
      <w:pPr>
        <w:pStyle w:val="BodyText"/>
        <w:spacing w:before="44"/>
        <w:ind w:left="1329" w:right="4181"/>
        <w:jc w:val="center"/>
      </w:pPr>
      <w:r>
        <w:rPr/>
        <w:t>Battle</w:t>
      </w:r>
      <w:r>
        <w:rPr>
          <w:spacing w:val="6"/>
        </w:rPr>
        <w:t> </w:t>
      </w:r>
      <w:r>
        <w:rPr/>
        <w:t>deaths</w:t>
      </w:r>
      <w:r>
        <w:rPr>
          <w:spacing w:val="6"/>
        </w:rPr>
        <w:t> </w:t>
      </w:r>
      <w:r>
        <w:rPr/>
        <w:t>(monthly</w:t>
      </w:r>
      <w:r>
        <w:rPr>
          <w:spacing w:val="6"/>
        </w:rPr>
        <w:t> </w:t>
      </w:r>
      <w:r>
        <w:rPr>
          <w:spacing w:val="-4"/>
        </w:rPr>
        <w:t>avg)</w:t>
      </w:r>
    </w:p>
    <w:p>
      <w:pPr>
        <w:pStyle w:val="BodyText"/>
        <w:spacing w:before="6"/>
        <w:rPr>
          <w:sz w:val="11"/>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6"/>
        <w:gridCol w:w="1323"/>
        <w:gridCol w:w="1444"/>
      </w:tblGrid>
      <w:tr>
        <w:trPr>
          <w:trHeight w:val="220" w:hRule="atLeast"/>
        </w:trPr>
        <w:tc>
          <w:tcPr>
            <w:tcW w:w="2486" w:type="dxa"/>
            <w:tcBorders>
              <w:bottom w:val="single" w:sz="4" w:space="0" w:color="000000"/>
            </w:tcBorders>
          </w:tcPr>
          <w:p>
            <w:pPr>
              <w:pStyle w:val="TableParagraph"/>
              <w:jc w:val="left"/>
              <w:rPr>
                <w:rFonts w:ascii="Times New Roman"/>
                <w:sz w:val="14"/>
              </w:rPr>
            </w:pPr>
          </w:p>
        </w:tc>
        <w:tc>
          <w:tcPr>
            <w:tcW w:w="1323" w:type="dxa"/>
            <w:tcBorders>
              <w:bottom w:val="single" w:sz="4" w:space="0" w:color="000000"/>
            </w:tcBorders>
          </w:tcPr>
          <w:p>
            <w:pPr>
              <w:pStyle w:val="TableParagraph"/>
              <w:spacing w:line="193" w:lineRule="exact"/>
              <w:ind w:left="120" w:right="192"/>
              <w:rPr>
                <w:sz w:val="20"/>
              </w:rPr>
            </w:pPr>
            <w:r>
              <w:rPr>
                <w:spacing w:val="-5"/>
                <w:w w:val="105"/>
                <w:sz w:val="20"/>
              </w:rPr>
              <w:t>(1)</w:t>
            </w:r>
          </w:p>
        </w:tc>
        <w:tc>
          <w:tcPr>
            <w:tcW w:w="1444" w:type="dxa"/>
            <w:tcBorders>
              <w:bottom w:val="single" w:sz="4" w:space="0" w:color="000000"/>
            </w:tcBorders>
          </w:tcPr>
          <w:p>
            <w:pPr>
              <w:pStyle w:val="TableParagraph"/>
              <w:spacing w:line="193" w:lineRule="exact"/>
              <w:ind w:left="207" w:right="229"/>
              <w:rPr>
                <w:sz w:val="20"/>
              </w:rPr>
            </w:pPr>
            <w:r>
              <w:rPr>
                <w:spacing w:val="-5"/>
                <w:sz w:val="20"/>
              </w:rPr>
              <w:t>(2)</w:t>
            </w:r>
          </w:p>
        </w:tc>
      </w:tr>
      <w:tr>
        <w:trPr>
          <w:trHeight w:val="320" w:hRule="atLeast"/>
        </w:trPr>
        <w:tc>
          <w:tcPr>
            <w:tcW w:w="2486" w:type="dxa"/>
            <w:tcBorders>
              <w:top w:val="single" w:sz="4" w:space="0" w:color="000000"/>
            </w:tcBorders>
          </w:tcPr>
          <w:p>
            <w:pPr>
              <w:pStyle w:val="TableParagraph"/>
              <w:spacing w:before="67"/>
              <w:jc w:val="left"/>
              <w:rPr>
                <w:sz w:val="20"/>
              </w:rPr>
            </w:pPr>
            <w:r>
              <w:rPr>
                <w:w w:val="105"/>
                <w:sz w:val="20"/>
              </w:rPr>
              <w:t>WTI</w:t>
            </w:r>
            <w:r>
              <w:rPr>
                <w:spacing w:val="12"/>
                <w:w w:val="105"/>
                <w:sz w:val="20"/>
              </w:rPr>
              <w:t> </w:t>
            </w:r>
            <w:r>
              <w:rPr>
                <w:w w:val="105"/>
                <w:sz w:val="20"/>
              </w:rPr>
              <w:t>P(t)*Oil</w:t>
            </w:r>
            <w:r>
              <w:rPr>
                <w:spacing w:val="12"/>
                <w:w w:val="105"/>
                <w:sz w:val="20"/>
              </w:rPr>
              <w:t> </w:t>
            </w:r>
            <w:r>
              <w:rPr>
                <w:spacing w:val="-2"/>
                <w:w w:val="105"/>
                <w:sz w:val="20"/>
              </w:rPr>
              <w:t>rents</w:t>
            </w:r>
          </w:p>
        </w:tc>
        <w:tc>
          <w:tcPr>
            <w:tcW w:w="1323" w:type="dxa"/>
            <w:tcBorders>
              <w:top w:val="single" w:sz="4" w:space="0" w:color="000000"/>
            </w:tcBorders>
          </w:tcPr>
          <w:p>
            <w:pPr>
              <w:pStyle w:val="TableParagraph"/>
              <w:spacing w:line="269" w:lineRule="exact" w:before="31"/>
              <w:ind w:left="120" w:right="202"/>
              <w:rPr>
                <w:rFonts w:ascii="Lucida Sans Unicode" w:hAnsi="Lucida Sans Unicode"/>
                <w:sz w:val="20"/>
              </w:rPr>
            </w:pPr>
            <w:r>
              <w:rPr>
                <w:rFonts w:ascii="Lucida Sans Unicode" w:hAnsi="Lucida Sans Unicode"/>
                <w:spacing w:val="-2"/>
                <w:sz w:val="20"/>
              </w:rPr>
              <w:t>−</w:t>
            </w:r>
            <w:r>
              <w:rPr>
                <w:spacing w:val="-2"/>
                <w:sz w:val="20"/>
              </w:rPr>
              <w:t>1.1</w:t>
            </w:r>
            <w:r>
              <w:rPr>
                <w:rFonts w:ascii="Lucida Sans Unicode" w:hAnsi="Lucida Sans Unicode"/>
                <w:spacing w:val="-2"/>
                <w:sz w:val="20"/>
                <w:vertAlign w:val="superscript"/>
              </w:rPr>
              <w:t>∗∗∗</w:t>
            </w:r>
          </w:p>
        </w:tc>
        <w:tc>
          <w:tcPr>
            <w:tcW w:w="1444" w:type="dxa"/>
            <w:tcBorders>
              <w:top w:val="single" w:sz="4" w:space="0" w:color="000000"/>
            </w:tcBorders>
          </w:tcPr>
          <w:p>
            <w:pPr>
              <w:pStyle w:val="TableParagraph"/>
              <w:jc w:val="left"/>
              <w:rPr>
                <w:rFonts w:ascii="Times New Roman"/>
                <w:sz w:val="18"/>
              </w:rPr>
            </w:pPr>
          </w:p>
        </w:tc>
      </w:tr>
      <w:tr>
        <w:trPr>
          <w:trHeight w:val="342" w:hRule="atLeast"/>
        </w:trPr>
        <w:tc>
          <w:tcPr>
            <w:tcW w:w="2486" w:type="dxa"/>
          </w:tcPr>
          <w:p>
            <w:pPr>
              <w:pStyle w:val="TableParagraph"/>
              <w:jc w:val="left"/>
              <w:rPr>
                <w:rFonts w:ascii="Times New Roman"/>
                <w:sz w:val="18"/>
              </w:rPr>
            </w:pPr>
          </w:p>
        </w:tc>
        <w:tc>
          <w:tcPr>
            <w:tcW w:w="1323" w:type="dxa"/>
          </w:tcPr>
          <w:p>
            <w:pPr>
              <w:pStyle w:val="TableParagraph"/>
              <w:spacing w:line="213" w:lineRule="exact"/>
              <w:ind w:left="120" w:right="191"/>
              <w:rPr>
                <w:sz w:val="20"/>
              </w:rPr>
            </w:pPr>
            <w:r>
              <w:rPr>
                <w:spacing w:val="-2"/>
                <w:sz w:val="20"/>
              </w:rPr>
              <w:t>(0.004)</w:t>
            </w:r>
          </w:p>
        </w:tc>
        <w:tc>
          <w:tcPr>
            <w:tcW w:w="1444" w:type="dxa"/>
          </w:tcPr>
          <w:p>
            <w:pPr>
              <w:pStyle w:val="TableParagraph"/>
              <w:jc w:val="left"/>
              <w:rPr>
                <w:rFonts w:ascii="Times New Roman"/>
                <w:sz w:val="18"/>
              </w:rPr>
            </w:pPr>
          </w:p>
        </w:tc>
      </w:tr>
      <w:tr>
        <w:trPr>
          <w:trHeight w:val="375" w:hRule="atLeast"/>
        </w:trPr>
        <w:tc>
          <w:tcPr>
            <w:tcW w:w="2486" w:type="dxa"/>
          </w:tcPr>
          <w:p>
            <w:pPr>
              <w:pStyle w:val="TableParagraph"/>
              <w:spacing w:before="122"/>
              <w:ind w:left="-1"/>
              <w:jc w:val="left"/>
              <w:rPr>
                <w:sz w:val="20"/>
              </w:rPr>
            </w:pPr>
            <w:r>
              <w:rPr>
                <w:w w:val="105"/>
                <w:sz w:val="20"/>
              </w:rPr>
              <w:t>WTI</w:t>
            </w:r>
            <w:r>
              <w:rPr>
                <w:spacing w:val="11"/>
                <w:w w:val="105"/>
                <w:sz w:val="20"/>
              </w:rPr>
              <w:t> </w:t>
            </w:r>
            <w:r>
              <w:rPr>
                <w:w w:val="105"/>
                <w:sz w:val="20"/>
              </w:rPr>
              <w:t>P(t-1)*Oil</w:t>
            </w:r>
            <w:r>
              <w:rPr>
                <w:spacing w:val="11"/>
                <w:w w:val="105"/>
                <w:sz w:val="20"/>
              </w:rPr>
              <w:t> </w:t>
            </w:r>
            <w:r>
              <w:rPr>
                <w:spacing w:val="-2"/>
                <w:w w:val="105"/>
                <w:sz w:val="20"/>
              </w:rPr>
              <w:t>rents</w:t>
            </w:r>
          </w:p>
        </w:tc>
        <w:tc>
          <w:tcPr>
            <w:tcW w:w="1323" w:type="dxa"/>
          </w:tcPr>
          <w:p>
            <w:pPr>
              <w:pStyle w:val="TableParagraph"/>
              <w:jc w:val="left"/>
              <w:rPr>
                <w:rFonts w:ascii="Times New Roman"/>
                <w:sz w:val="18"/>
              </w:rPr>
            </w:pPr>
          </w:p>
        </w:tc>
        <w:tc>
          <w:tcPr>
            <w:tcW w:w="1444" w:type="dxa"/>
          </w:tcPr>
          <w:p>
            <w:pPr>
              <w:pStyle w:val="TableParagraph"/>
              <w:spacing w:line="269" w:lineRule="exact" w:before="86"/>
              <w:ind w:left="207" w:right="239"/>
              <w:rPr>
                <w:rFonts w:ascii="Lucida Sans Unicode" w:hAnsi="Lucida Sans Unicode"/>
                <w:sz w:val="20"/>
              </w:rPr>
            </w:pPr>
            <w:r>
              <w:rPr>
                <w:rFonts w:ascii="Lucida Sans Unicode" w:hAnsi="Lucida Sans Unicode"/>
                <w:spacing w:val="-2"/>
                <w:w w:val="95"/>
                <w:sz w:val="20"/>
              </w:rPr>
              <w:t>−</w:t>
            </w:r>
            <w:r>
              <w:rPr>
                <w:spacing w:val="-2"/>
                <w:w w:val="95"/>
                <w:sz w:val="20"/>
              </w:rPr>
              <w:t>0.8</w:t>
            </w:r>
            <w:r>
              <w:rPr>
                <w:rFonts w:ascii="Lucida Sans Unicode" w:hAnsi="Lucida Sans Unicode"/>
                <w:spacing w:val="-2"/>
                <w:w w:val="95"/>
                <w:sz w:val="20"/>
                <w:vertAlign w:val="superscript"/>
              </w:rPr>
              <w:t>∗∗</w:t>
            </w:r>
          </w:p>
        </w:tc>
      </w:tr>
      <w:tr>
        <w:trPr>
          <w:trHeight w:val="342" w:hRule="atLeast"/>
        </w:trPr>
        <w:tc>
          <w:tcPr>
            <w:tcW w:w="2486" w:type="dxa"/>
          </w:tcPr>
          <w:p>
            <w:pPr>
              <w:pStyle w:val="TableParagraph"/>
              <w:jc w:val="left"/>
              <w:rPr>
                <w:rFonts w:ascii="Times New Roman"/>
                <w:sz w:val="18"/>
              </w:rPr>
            </w:pPr>
          </w:p>
        </w:tc>
        <w:tc>
          <w:tcPr>
            <w:tcW w:w="1323" w:type="dxa"/>
          </w:tcPr>
          <w:p>
            <w:pPr>
              <w:pStyle w:val="TableParagraph"/>
              <w:jc w:val="left"/>
              <w:rPr>
                <w:rFonts w:ascii="Times New Roman"/>
                <w:sz w:val="18"/>
              </w:rPr>
            </w:pPr>
          </w:p>
        </w:tc>
        <w:tc>
          <w:tcPr>
            <w:tcW w:w="1444" w:type="dxa"/>
          </w:tcPr>
          <w:p>
            <w:pPr>
              <w:pStyle w:val="TableParagraph"/>
              <w:spacing w:line="213" w:lineRule="exact"/>
              <w:ind w:left="207" w:right="229"/>
              <w:rPr>
                <w:sz w:val="20"/>
              </w:rPr>
            </w:pPr>
            <w:r>
              <w:rPr>
                <w:spacing w:val="-2"/>
                <w:sz w:val="20"/>
              </w:rPr>
              <w:t>(0.004)</w:t>
            </w:r>
          </w:p>
        </w:tc>
      </w:tr>
      <w:tr>
        <w:trPr>
          <w:trHeight w:val="375" w:hRule="atLeast"/>
        </w:trPr>
        <w:tc>
          <w:tcPr>
            <w:tcW w:w="2486" w:type="dxa"/>
          </w:tcPr>
          <w:p>
            <w:pPr>
              <w:pStyle w:val="TableParagraph"/>
              <w:spacing w:before="122"/>
              <w:jc w:val="left"/>
              <w:rPr>
                <w:sz w:val="20"/>
              </w:rPr>
            </w:pPr>
            <w:r>
              <w:rPr>
                <w:w w:val="105"/>
                <w:sz w:val="20"/>
              </w:rPr>
              <w:t>WTI</w:t>
            </w:r>
            <w:r>
              <w:rPr>
                <w:spacing w:val="15"/>
                <w:w w:val="105"/>
                <w:sz w:val="20"/>
              </w:rPr>
              <w:t> </w:t>
            </w:r>
            <w:r>
              <w:rPr>
                <w:spacing w:val="-4"/>
                <w:w w:val="105"/>
                <w:sz w:val="20"/>
              </w:rPr>
              <w:t>P(t)</w:t>
            </w:r>
          </w:p>
        </w:tc>
        <w:tc>
          <w:tcPr>
            <w:tcW w:w="1323" w:type="dxa"/>
          </w:tcPr>
          <w:p>
            <w:pPr>
              <w:pStyle w:val="TableParagraph"/>
              <w:spacing w:line="269" w:lineRule="exact" w:before="86"/>
              <w:ind w:left="120" w:right="202"/>
              <w:rPr>
                <w:rFonts w:ascii="Lucida Sans Unicode" w:hAnsi="Lucida Sans Unicode"/>
                <w:sz w:val="20"/>
              </w:rPr>
            </w:pPr>
            <w:r>
              <w:rPr>
                <w:rFonts w:ascii="Lucida Sans Unicode" w:hAnsi="Lucida Sans Unicode"/>
                <w:spacing w:val="-2"/>
                <w:w w:val="95"/>
                <w:sz w:val="20"/>
              </w:rPr>
              <w:t>−</w:t>
            </w:r>
            <w:r>
              <w:rPr>
                <w:spacing w:val="-2"/>
                <w:w w:val="95"/>
                <w:sz w:val="20"/>
              </w:rPr>
              <w:t>0.302</w:t>
            </w:r>
            <w:r>
              <w:rPr>
                <w:rFonts w:ascii="Lucida Sans Unicode" w:hAnsi="Lucida Sans Unicode"/>
                <w:spacing w:val="-2"/>
                <w:w w:val="95"/>
                <w:sz w:val="20"/>
                <w:vertAlign w:val="superscript"/>
              </w:rPr>
              <w:t>∗∗∗</w:t>
            </w:r>
          </w:p>
        </w:tc>
        <w:tc>
          <w:tcPr>
            <w:tcW w:w="1444" w:type="dxa"/>
          </w:tcPr>
          <w:p>
            <w:pPr>
              <w:pStyle w:val="TableParagraph"/>
              <w:jc w:val="left"/>
              <w:rPr>
                <w:rFonts w:ascii="Times New Roman"/>
                <w:sz w:val="18"/>
              </w:rPr>
            </w:pPr>
          </w:p>
        </w:tc>
      </w:tr>
      <w:tr>
        <w:trPr>
          <w:trHeight w:val="342" w:hRule="atLeast"/>
        </w:trPr>
        <w:tc>
          <w:tcPr>
            <w:tcW w:w="2486" w:type="dxa"/>
          </w:tcPr>
          <w:p>
            <w:pPr>
              <w:pStyle w:val="TableParagraph"/>
              <w:jc w:val="left"/>
              <w:rPr>
                <w:rFonts w:ascii="Times New Roman"/>
                <w:sz w:val="18"/>
              </w:rPr>
            </w:pPr>
          </w:p>
        </w:tc>
        <w:tc>
          <w:tcPr>
            <w:tcW w:w="1323" w:type="dxa"/>
          </w:tcPr>
          <w:p>
            <w:pPr>
              <w:pStyle w:val="TableParagraph"/>
              <w:spacing w:line="213" w:lineRule="exact"/>
              <w:ind w:left="120" w:right="191"/>
              <w:rPr>
                <w:sz w:val="20"/>
              </w:rPr>
            </w:pPr>
            <w:r>
              <w:rPr>
                <w:spacing w:val="-2"/>
                <w:sz w:val="20"/>
              </w:rPr>
              <w:t>(0.055)</w:t>
            </w:r>
          </w:p>
        </w:tc>
        <w:tc>
          <w:tcPr>
            <w:tcW w:w="1444" w:type="dxa"/>
          </w:tcPr>
          <w:p>
            <w:pPr>
              <w:pStyle w:val="TableParagraph"/>
              <w:jc w:val="left"/>
              <w:rPr>
                <w:rFonts w:ascii="Times New Roman"/>
                <w:sz w:val="18"/>
              </w:rPr>
            </w:pPr>
          </w:p>
        </w:tc>
      </w:tr>
      <w:tr>
        <w:trPr>
          <w:trHeight w:val="375" w:hRule="atLeast"/>
        </w:trPr>
        <w:tc>
          <w:tcPr>
            <w:tcW w:w="2486" w:type="dxa"/>
          </w:tcPr>
          <w:p>
            <w:pPr>
              <w:pStyle w:val="TableParagraph"/>
              <w:spacing w:before="122"/>
              <w:jc w:val="left"/>
              <w:rPr>
                <w:sz w:val="20"/>
              </w:rPr>
            </w:pPr>
            <w:r>
              <w:rPr>
                <w:w w:val="105"/>
                <w:sz w:val="20"/>
              </w:rPr>
              <w:t>WTI</w:t>
            </w:r>
            <w:r>
              <w:rPr>
                <w:spacing w:val="17"/>
                <w:w w:val="105"/>
                <w:sz w:val="20"/>
              </w:rPr>
              <w:t> </w:t>
            </w:r>
            <w:r>
              <w:rPr>
                <w:w w:val="105"/>
                <w:sz w:val="20"/>
              </w:rPr>
              <w:t>P(t-</w:t>
            </w:r>
            <w:r>
              <w:rPr>
                <w:spacing w:val="-5"/>
                <w:w w:val="105"/>
                <w:sz w:val="20"/>
              </w:rPr>
              <w:t>1)</w:t>
            </w:r>
          </w:p>
        </w:tc>
        <w:tc>
          <w:tcPr>
            <w:tcW w:w="1323" w:type="dxa"/>
          </w:tcPr>
          <w:p>
            <w:pPr>
              <w:pStyle w:val="TableParagraph"/>
              <w:jc w:val="left"/>
              <w:rPr>
                <w:rFonts w:ascii="Times New Roman"/>
                <w:sz w:val="18"/>
              </w:rPr>
            </w:pPr>
          </w:p>
        </w:tc>
        <w:tc>
          <w:tcPr>
            <w:tcW w:w="1444" w:type="dxa"/>
          </w:tcPr>
          <w:p>
            <w:pPr>
              <w:pStyle w:val="TableParagraph"/>
              <w:spacing w:line="269" w:lineRule="exact" w:before="86"/>
              <w:ind w:left="207" w:right="241"/>
              <w:rPr>
                <w:rFonts w:ascii="Lucida Sans Unicode" w:hAnsi="Lucida Sans Unicode"/>
                <w:sz w:val="20"/>
              </w:rPr>
            </w:pPr>
            <w:r>
              <w:rPr>
                <w:rFonts w:ascii="Lucida Sans Unicode" w:hAnsi="Lucida Sans Unicode"/>
                <w:spacing w:val="-2"/>
                <w:w w:val="95"/>
                <w:sz w:val="20"/>
              </w:rPr>
              <w:t>−</w:t>
            </w:r>
            <w:r>
              <w:rPr>
                <w:spacing w:val="-2"/>
                <w:w w:val="95"/>
                <w:sz w:val="20"/>
              </w:rPr>
              <w:t>0.295</w:t>
            </w:r>
            <w:r>
              <w:rPr>
                <w:rFonts w:ascii="Lucida Sans Unicode" w:hAnsi="Lucida Sans Unicode"/>
                <w:spacing w:val="-2"/>
                <w:w w:val="95"/>
                <w:sz w:val="20"/>
                <w:vertAlign w:val="superscript"/>
              </w:rPr>
              <w:t>∗∗∗</w:t>
            </w:r>
          </w:p>
        </w:tc>
      </w:tr>
      <w:tr>
        <w:trPr>
          <w:trHeight w:val="342" w:hRule="atLeast"/>
        </w:trPr>
        <w:tc>
          <w:tcPr>
            <w:tcW w:w="2486" w:type="dxa"/>
          </w:tcPr>
          <w:p>
            <w:pPr>
              <w:pStyle w:val="TableParagraph"/>
              <w:jc w:val="left"/>
              <w:rPr>
                <w:rFonts w:ascii="Times New Roman"/>
                <w:sz w:val="18"/>
              </w:rPr>
            </w:pPr>
          </w:p>
        </w:tc>
        <w:tc>
          <w:tcPr>
            <w:tcW w:w="1323" w:type="dxa"/>
          </w:tcPr>
          <w:p>
            <w:pPr>
              <w:pStyle w:val="TableParagraph"/>
              <w:jc w:val="left"/>
              <w:rPr>
                <w:rFonts w:ascii="Times New Roman"/>
                <w:sz w:val="18"/>
              </w:rPr>
            </w:pPr>
          </w:p>
        </w:tc>
        <w:tc>
          <w:tcPr>
            <w:tcW w:w="1444" w:type="dxa"/>
          </w:tcPr>
          <w:p>
            <w:pPr>
              <w:pStyle w:val="TableParagraph"/>
              <w:spacing w:line="213" w:lineRule="exact"/>
              <w:ind w:left="207" w:right="229"/>
              <w:rPr>
                <w:sz w:val="20"/>
              </w:rPr>
            </w:pPr>
            <w:r>
              <w:rPr>
                <w:spacing w:val="-2"/>
                <w:sz w:val="20"/>
              </w:rPr>
              <w:t>(0.055)</w:t>
            </w:r>
          </w:p>
        </w:tc>
      </w:tr>
      <w:tr>
        <w:trPr>
          <w:trHeight w:val="375" w:hRule="atLeast"/>
        </w:trPr>
        <w:tc>
          <w:tcPr>
            <w:tcW w:w="2486" w:type="dxa"/>
          </w:tcPr>
          <w:p>
            <w:pPr>
              <w:pStyle w:val="TableParagraph"/>
              <w:spacing w:before="122"/>
              <w:ind w:left="-1"/>
              <w:jc w:val="left"/>
              <w:rPr>
                <w:sz w:val="20"/>
              </w:rPr>
            </w:pPr>
            <w:r>
              <w:rPr>
                <w:sz w:val="20"/>
              </w:rPr>
              <w:t>Oil</w:t>
            </w:r>
            <w:r>
              <w:rPr>
                <w:spacing w:val="18"/>
                <w:sz w:val="20"/>
              </w:rPr>
              <w:t> </w:t>
            </w:r>
            <w:r>
              <w:rPr>
                <w:spacing w:val="-4"/>
                <w:sz w:val="20"/>
              </w:rPr>
              <w:t>rents</w:t>
            </w:r>
          </w:p>
        </w:tc>
        <w:tc>
          <w:tcPr>
            <w:tcW w:w="1323" w:type="dxa"/>
          </w:tcPr>
          <w:p>
            <w:pPr>
              <w:pStyle w:val="TableParagraph"/>
              <w:spacing w:line="269" w:lineRule="exact" w:before="86"/>
              <w:ind w:left="120" w:right="202"/>
              <w:rPr>
                <w:rFonts w:ascii="Lucida Sans Unicode" w:hAnsi="Lucida Sans Unicode"/>
                <w:sz w:val="20"/>
              </w:rPr>
            </w:pPr>
            <w:r>
              <w:rPr>
                <w:rFonts w:ascii="Lucida Sans Unicode" w:hAnsi="Lucida Sans Unicode"/>
                <w:spacing w:val="-2"/>
                <w:w w:val="95"/>
                <w:sz w:val="20"/>
              </w:rPr>
              <w:t>−</w:t>
            </w:r>
            <w:r>
              <w:rPr>
                <w:spacing w:val="-2"/>
                <w:w w:val="95"/>
                <w:sz w:val="20"/>
              </w:rPr>
              <w:t>3.456</w:t>
            </w:r>
            <w:r>
              <w:rPr>
                <w:rFonts w:ascii="Lucida Sans Unicode" w:hAnsi="Lucida Sans Unicode"/>
                <w:spacing w:val="-2"/>
                <w:w w:val="95"/>
                <w:sz w:val="20"/>
                <w:vertAlign w:val="superscript"/>
              </w:rPr>
              <w:t>∗∗∗</w:t>
            </w:r>
          </w:p>
        </w:tc>
        <w:tc>
          <w:tcPr>
            <w:tcW w:w="1444" w:type="dxa"/>
          </w:tcPr>
          <w:p>
            <w:pPr>
              <w:pStyle w:val="TableParagraph"/>
              <w:spacing w:line="269" w:lineRule="exact" w:before="86"/>
              <w:ind w:left="207" w:right="241"/>
              <w:rPr>
                <w:rFonts w:ascii="Lucida Sans Unicode" w:hAnsi="Lucida Sans Unicode"/>
                <w:sz w:val="20"/>
              </w:rPr>
            </w:pPr>
            <w:r>
              <w:rPr>
                <w:rFonts w:ascii="Lucida Sans Unicode" w:hAnsi="Lucida Sans Unicode"/>
                <w:spacing w:val="-2"/>
                <w:w w:val="95"/>
                <w:sz w:val="20"/>
              </w:rPr>
              <w:t>−</w:t>
            </w:r>
            <w:r>
              <w:rPr>
                <w:spacing w:val="-2"/>
                <w:w w:val="95"/>
                <w:sz w:val="20"/>
              </w:rPr>
              <w:t>3.696</w:t>
            </w:r>
            <w:r>
              <w:rPr>
                <w:rFonts w:ascii="Lucida Sans Unicode" w:hAnsi="Lucida Sans Unicode"/>
                <w:spacing w:val="-2"/>
                <w:w w:val="95"/>
                <w:sz w:val="20"/>
                <w:vertAlign w:val="superscript"/>
              </w:rPr>
              <w:t>∗∗∗</w:t>
            </w:r>
          </w:p>
        </w:tc>
      </w:tr>
      <w:tr>
        <w:trPr>
          <w:trHeight w:val="342" w:hRule="atLeast"/>
        </w:trPr>
        <w:tc>
          <w:tcPr>
            <w:tcW w:w="2486" w:type="dxa"/>
          </w:tcPr>
          <w:p>
            <w:pPr>
              <w:pStyle w:val="TableParagraph"/>
              <w:jc w:val="left"/>
              <w:rPr>
                <w:rFonts w:ascii="Times New Roman"/>
                <w:sz w:val="18"/>
              </w:rPr>
            </w:pPr>
          </w:p>
        </w:tc>
        <w:tc>
          <w:tcPr>
            <w:tcW w:w="1323" w:type="dxa"/>
          </w:tcPr>
          <w:p>
            <w:pPr>
              <w:pStyle w:val="TableParagraph"/>
              <w:spacing w:line="213" w:lineRule="exact"/>
              <w:ind w:left="120" w:right="191"/>
              <w:rPr>
                <w:sz w:val="20"/>
              </w:rPr>
            </w:pPr>
            <w:r>
              <w:rPr>
                <w:spacing w:val="-2"/>
                <w:sz w:val="20"/>
              </w:rPr>
              <w:t>(0.378)</w:t>
            </w:r>
          </w:p>
        </w:tc>
        <w:tc>
          <w:tcPr>
            <w:tcW w:w="1444" w:type="dxa"/>
          </w:tcPr>
          <w:p>
            <w:pPr>
              <w:pStyle w:val="TableParagraph"/>
              <w:spacing w:line="213" w:lineRule="exact"/>
              <w:ind w:left="207" w:right="228"/>
              <w:rPr>
                <w:sz w:val="20"/>
              </w:rPr>
            </w:pPr>
            <w:r>
              <w:rPr>
                <w:spacing w:val="-2"/>
                <w:sz w:val="20"/>
              </w:rPr>
              <w:t>(0.377)</w:t>
            </w:r>
          </w:p>
        </w:tc>
      </w:tr>
      <w:tr>
        <w:trPr>
          <w:trHeight w:val="375" w:hRule="atLeast"/>
        </w:trPr>
        <w:tc>
          <w:tcPr>
            <w:tcW w:w="2486" w:type="dxa"/>
          </w:tcPr>
          <w:p>
            <w:pPr>
              <w:pStyle w:val="TableParagraph"/>
              <w:spacing w:before="122"/>
              <w:ind w:left="-1"/>
              <w:jc w:val="left"/>
              <w:rPr>
                <w:sz w:val="20"/>
              </w:rPr>
            </w:pPr>
            <w:r>
              <w:rPr>
                <w:spacing w:val="-2"/>
                <w:sz w:val="20"/>
              </w:rPr>
              <w:t>log(Population)</w:t>
            </w:r>
          </w:p>
        </w:tc>
        <w:tc>
          <w:tcPr>
            <w:tcW w:w="1323" w:type="dxa"/>
          </w:tcPr>
          <w:p>
            <w:pPr>
              <w:pStyle w:val="TableParagraph"/>
              <w:spacing w:line="269" w:lineRule="exact" w:before="86"/>
              <w:ind w:left="120" w:right="203"/>
              <w:rPr>
                <w:rFonts w:ascii="Lucida Sans Unicode" w:hAnsi="Lucida Sans Unicode"/>
                <w:sz w:val="20"/>
              </w:rPr>
            </w:pPr>
            <w:r>
              <w:rPr>
                <w:spacing w:val="-2"/>
                <w:sz w:val="20"/>
              </w:rPr>
              <w:t>122.718</w:t>
            </w:r>
            <w:r>
              <w:rPr>
                <w:rFonts w:ascii="Lucida Sans Unicode" w:hAnsi="Lucida Sans Unicode"/>
                <w:spacing w:val="-2"/>
                <w:sz w:val="20"/>
                <w:vertAlign w:val="superscript"/>
              </w:rPr>
              <w:t>∗∗∗</w:t>
            </w:r>
          </w:p>
        </w:tc>
        <w:tc>
          <w:tcPr>
            <w:tcW w:w="1444" w:type="dxa"/>
          </w:tcPr>
          <w:p>
            <w:pPr>
              <w:pStyle w:val="TableParagraph"/>
              <w:spacing w:line="269" w:lineRule="exact" w:before="86"/>
              <w:ind w:left="207" w:right="241"/>
              <w:rPr>
                <w:rFonts w:ascii="Lucida Sans Unicode" w:hAnsi="Lucida Sans Unicode"/>
                <w:sz w:val="20"/>
              </w:rPr>
            </w:pPr>
            <w:r>
              <w:rPr>
                <w:spacing w:val="-2"/>
                <w:sz w:val="20"/>
              </w:rPr>
              <w:t>121.018</w:t>
            </w:r>
            <w:r>
              <w:rPr>
                <w:rFonts w:ascii="Lucida Sans Unicode" w:hAnsi="Lucida Sans Unicode"/>
                <w:spacing w:val="-2"/>
                <w:sz w:val="20"/>
                <w:vertAlign w:val="superscript"/>
              </w:rPr>
              <w:t>∗∗∗</w:t>
            </w:r>
          </w:p>
        </w:tc>
      </w:tr>
      <w:tr>
        <w:trPr>
          <w:trHeight w:val="342" w:hRule="atLeast"/>
        </w:trPr>
        <w:tc>
          <w:tcPr>
            <w:tcW w:w="2486" w:type="dxa"/>
          </w:tcPr>
          <w:p>
            <w:pPr>
              <w:pStyle w:val="TableParagraph"/>
              <w:jc w:val="left"/>
              <w:rPr>
                <w:rFonts w:ascii="Times New Roman"/>
                <w:sz w:val="18"/>
              </w:rPr>
            </w:pPr>
          </w:p>
        </w:tc>
        <w:tc>
          <w:tcPr>
            <w:tcW w:w="1323" w:type="dxa"/>
          </w:tcPr>
          <w:p>
            <w:pPr>
              <w:pStyle w:val="TableParagraph"/>
              <w:spacing w:line="213" w:lineRule="exact"/>
              <w:ind w:left="120" w:right="191"/>
              <w:rPr>
                <w:sz w:val="20"/>
              </w:rPr>
            </w:pPr>
            <w:r>
              <w:rPr>
                <w:spacing w:val="-2"/>
                <w:sz w:val="20"/>
              </w:rPr>
              <w:t>(9.557)</w:t>
            </w:r>
          </w:p>
        </w:tc>
        <w:tc>
          <w:tcPr>
            <w:tcW w:w="1444" w:type="dxa"/>
          </w:tcPr>
          <w:p>
            <w:pPr>
              <w:pStyle w:val="TableParagraph"/>
              <w:spacing w:line="213" w:lineRule="exact"/>
              <w:ind w:left="207" w:right="228"/>
              <w:rPr>
                <w:sz w:val="20"/>
              </w:rPr>
            </w:pPr>
            <w:r>
              <w:rPr>
                <w:spacing w:val="-2"/>
                <w:sz w:val="20"/>
              </w:rPr>
              <w:t>(9.588)</w:t>
            </w:r>
          </w:p>
        </w:tc>
      </w:tr>
      <w:tr>
        <w:trPr>
          <w:trHeight w:val="375" w:hRule="atLeast"/>
        </w:trPr>
        <w:tc>
          <w:tcPr>
            <w:tcW w:w="2486" w:type="dxa"/>
          </w:tcPr>
          <w:p>
            <w:pPr>
              <w:pStyle w:val="TableParagraph"/>
              <w:spacing w:before="122"/>
              <w:ind w:left="-1"/>
              <w:jc w:val="left"/>
              <w:rPr>
                <w:sz w:val="20"/>
              </w:rPr>
            </w:pPr>
            <w:r>
              <w:rPr>
                <w:sz w:val="20"/>
              </w:rPr>
              <w:t>Sec</w:t>
            </w:r>
            <w:r>
              <w:rPr>
                <w:spacing w:val="3"/>
                <w:sz w:val="20"/>
              </w:rPr>
              <w:t> </w:t>
            </w:r>
            <w:r>
              <w:rPr>
                <w:spacing w:val="-4"/>
                <w:sz w:val="20"/>
              </w:rPr>
              <w:t>score</w:t>
            </w:r>
          </w:p>
        </w:tc>
        <w:tc>
          <w:tcPr>
            <w:tcW w:w="1323" w:type="dxa"/>
          </w:tcPr>
          <w:p>
            <w:pPr>
              <w:pStyle w:val="TableParagraph"/>
              <w:spacing w:line="269" w:lineRule="exact" w:before="86"/>
              <w:ind w:left="120" w:right="202"/>
              <w:rPr>
                <w:rFonts w:ascii="Lucida Sans Unicode" w:hAnsi="Lucida Sans Unicode"/>
                <w:sz w:val="20"/>
              </w:rPr>
            </w:pPr>
            <w:r>
              <w:rPr>
                <w:spacing w:val="-2"/>
                <w:sz w:val="20"/>
              </w:rPr>
              <w:t>7.061</w:t>
            </w:r>
            <w:r>
              <w:rPr>
                <w:rFonts w:ascii="Lucida Sans Unicode" w:hAnsi="Lucida Sans Unicode"/>
                <w:spacing w:val="-2"/>
                <w:sz w:val="20"/>
                <w:vertAlign w:val="superscript"/>
              </w:rPr>
              <w:t>∗</w:t>
            </w:r>
          </w:p>
        </w:tc>
        <w:tc>
          <w:tcPr>
            <w:tcW w:w="1444" w:type="dxa"/>
          </w:tcPr>
          <w:p>
            <w:pPr>
              <w:pStyle w:val="TableParagraph"/>
              <w:spacing w:line="269" w:lineRule="exact" w:before="86"/>
              <w:ind w:left="207" w:right="240"/>
              <w:rPr>
                <w:rFonts w:ascii="Lucida Sans Unicode" w:hAnsi="Lucida Sans Unicode"/>
                <w:sz w:val="20"/>
              </w:rPr>
            </w:pPr>
            <w:r>
              <w:rPr>
                <w:spacing w:val="-2"/>
                <w:sz w:val="20"/>
              </w:rPr>
              <w:t>7.239</w:t>
            </w:r>
            <w:r>
              <w:rPr>
                <w:rFonts w:ascii="Lucida Sans Unicode" w:hAnsi="Lucida Sans Unicode"/>
                <w:spacing w:val="-2"/>
                <w:sz w:val="20"/>
                <w:vertAlign w:val="superscript"/>
              </w:rPr>
              <w:t>∗</w:t>
            </w:r>
          </w:p>
        </w:tc>
      </w:tr>
      <w:tr>
        <w:trPr>
          <w:trHeight w:val="479" w:hRule="atLeast"/>
        </w:trPr>
        <w:tc>
          <w:tcPr>
            <w:tcW w:w="2486" w:type="dxa"/>
            <w:tcBorders>
              <w:bottom w:val="single" w:sz="4" w:space="0" w:color="000000"/>
            </w:tcBorders>
          </w:tcPr>
          <w:p>
            <w:pPr>
              <w:pStyle w:val="TableParagraph"/>
              <w:jc w:val="left"/>
              <w:rPr>
                <w:rFonts w:ascii="Times New Roman"/>
                <w:sz w:val="18"/>
              </w:rPr>
            </w:pPr>
          </w:p>
        </w:tc>
        <w:tc>
          <w:tcPr>
            <w:tcW w:w="1323" w:type="dxa"/>
            <w:tcBorders>
              <w:bottom w:val="single" w:sz="4" w:space="0" w:color="000000"/>
            </w:tcBorders>
          </w:tcPr>
          <w:p>
            <w:pPr>
              <w:pStyle w:val="TableParagraph"/>
              <w:spacing w:line="213" w:lineRule="exact"/>
              <w:ind w:left="120" w:right="191"/>
              <w:rPr>
                <w:sz w:val="20"/>
              </w:rPr>
            </w:pPr>
            <w:r>
              <w:rPr>
                <w:spacing w:val="-2"/>
                <w:sz w:val="20"/>
              </w:rPr>
              <w:t>(3.770)</w:t>
            </w:r>
          </w:p>
        </w:tc>
        <w:tc>
          <w:tcPr>
            <w:tcW w:w="1444" w:type="dxa"/>
            <w:tcBorders>
              <w:bottom w:val="single" w:sz="4" w:space="0" w:color="000000"/>
            </w:tcBorders>
          </w:tcPr>
          <w:p>
            <w:pPr>
              <w:pStyle w:val="TableParagraph"/>
              <w:spacing w:line="213" w:lineRule="exact"/>
              <w:ind w:left="207" w:right="228"/>
              <w:rPr>
                <w:sz w:val="20"/>
              </w:rPr>
            </w:pPr>
            <w:r>
              <w:rPr>
                <w:spacing w:val="-2"/>
                <w:sz w:val="20"/>
              </w:rPr>
              <w:t>(3.772)</w:t>
            </w:r>
          </w:p>
        </w:tc>
      </w:tr>
      <w:tr>
        <w:trPr>
          <w:trHeight w:val="300" w:hRule="atLeast"/>
        </w:trPr>
        <w:tc>
          <w:tcPr>
            <w:tcW w:w="2486" w:type="dxa"/>
            <w:tcBorders>
              <w:top w:val="single" w:sz="4" w:space="0" w:color="000000"/>
            </w:tcBorders>
          </w:tcPr>
          <w:p>
            <w:pPr>
              <w:pStyle w:val="TableParagraph"/>
              <w:spacing w:line="213" w:lineRule="exact" w:before="67"/>
              <w:jc w:val="left"/>
              <w:rPr>
                <w:sz w:val="20"/>
              </w:rPr>
            </w:pPr>
            <w:r>
              <w:rPr>
                <w:spacing w:val="-2"/>
                <w:sz w:val="20"/>
              </w:rPr>
              <w:t>Observations</w:t>
            </w:r>
          </w:p>
        </w:tc>
        <w:tc>
          <w:tcPr>
            <w:tcW w:w="1323" w:type="dxa"/>
            <w:tcBorders>
              <w:top w:val="single" w:sz="4" w:space="0" w:color="000000"/>
            </w:tcBorders>
          </w:tcPr>
          <w:p>
            <w:pPr>
              <w:pStyle w:val="TableParagraph"/>
              <w:spacing w:line="213" w:lineRule="exact" w:before="67"/>
              <w:ind w:left="120" w:right="193"/>
              <w:rPr>
                <w:sz w:val="20"/>
              </w:rPr>
            </w:pPr>
            <w:r>
              <w:rPr>
                <w:spacing w:val="-2"/>
                <w:sz w:val="20"/>
              </w:rPr>
              <w:t>10,224</w:t>
            </w:r>
          </w:p>
        </w:tc>
        <w:tc>
          <w:tcPr>
            <w:tcW w:w="1444" w:type="dxa"/>
            <w:tcBorders>
              <w:top w:val="single" w:sz="4" w:space="0" w:color="000000"/>
            </w:tcBorders>
          </w:tcPr>
          <w:p>
            <w:pPr>
              <w:pStyle w:val="TableParagraph"/>
              <w:spacing w:line="213" w:lineRule="exact" w:before="67"/>
              <w:ind w:left="207" w:right="231"/>
              <w:rPr>
                <w:sz w:val="20"/>
              </w:rPr>
            </w:pPr>
            <w:r>
              <w:rPr>
                <w:spacing w:val="-2"/>
                <w:sz w:val="20"/>
              </w:rPr>
              <w:t>10,224</w:t>
            </w:r>
          </w:p>
        </w:tc>
      </w:tr>
      <w:tr>
        <w:trPr>
          <w:trHeight w:val="481" w:hRule="atLeast"/>
        </w:trPr>
        <w:tc>
          <w:tcPr>
            <w:tcW w:w="2486" w:type="dxa"/>
          </w:tcPr>
          <w:p>
            <w:pPr>
              <w:pStyle w:val="TableParagraph"/>
              <w:spacing w:line="151" w:lineRule="auto" w:before="17"/>
              <w:jc w:val="left"/>
              <w:rPr>
                <w:rFonts w:ascii="Century Gothic"/>
                <w:sz w:val="14"/>
              </w:rPr>
            </w:pPr>
            <w:r>
              <w:rPr>
                <w:spacing w:val="-5"/>
                <w:w w:val="105"/>
                <w:position w:val="-6"/>
                <w:sz w:val="20"/>
              </w:rPr>
              <w:t>R</w:t>
            </w:r>
            <w:r>
              <w:rPr>
                <w:rFonts w:ascii="Century Gothic"/>
                <w:spacing w:val="-5"/>
                <w:w w:val="105"/>
                <w:sz w:val="14"/>
              </w:rPr>
              <w:t>2</w:t>
            </w:r>
          </w:p>
          <w:p>
            <w:pPr>
              <w:pStyle w:val="TableParagraph"/>
              <w:spacing w:line="234" w:lineRule="exact" w:before="37"/>
              <w:ind w:left="-1"/>
              <w:jc w:val="left"/>
              <w:rPr>
                <w:rFonts w:ascii="Century Gothic"/>
                <w:sz w:val="20"/>
              </w:rPr>
            </w:pPr>
            <w:r>
              <w:rPr>
                <w:sz w:val="20"/>
              </w:rPr>
              <w:t>Adjusted</w:t>
            </w:r>
            <w:r>
              <w:rPr>
                <w:spacing w:val="10"/>
                <w:sz w:val="20"/>
              </w:rPr>
              <w:t> </w:t>
            </w:r>
            <w:r>
              <w:rPr>
                <w:spacing w:val="-5"/>
                <w:sz w:val="20"/>
              </w:rPr>
              <w:t>R</w:t>
            </w:r>
            <w:r>
              <w:rPr>
                <w:rFonts w:ascii="Century Gothic"/>
                <w:spacing w:val="-5"/>
                <w:sz w:val="20"/>
                <w:vertAlign w:val="superscript"/>
              </w:rPr>
              <w:t>2</w:t>
            </w:r>
          </w:p>
        </w:tc>
        <w:tc>
          <w:tcPr>
            <w:tcW w:w="1323" w:type="dxa"/>
          </w:tcPr>
          <w:p>
            <w:pPr>
              <w:pStyle w:val="TableParagraph"/>
              <w:spacing w:before="6"/>
              <w:ind w:left="397"/>
              <w:jc w:val="left"/>
              <w:rPr>
                <w:sz w:val="20"/>
              </w:rPr>
            </w:pPr>
            <w:r>
              <w:rPr>
                <w:spacing w:val="-2"/>
                <w:w w:val="95"/>
                <w:sz w:val="20"/>
              </w:rPr>
              <w:t>0.043</w:t>
            </w:r>
          </w:p>
          <w:p>
            <w:pPr>
              <w:pStyle w:val="TableParagraph"/>
              <w:spacing w:line="217" w:lineRule="exact" w:before="11"/>
              <w:ind w:left="397"/>
              <w:jc w:val="left"/>
              <w:rPr>
                <w:sz w:val="20"/>
              </w:rPr>
            </w:pPr>
            <w:r>
              <w:rPr>
                <w:spacing w:val="-2"/>
                <w:sz w:val="20"/>
              </w:rPr>
              <w:t>0.037</w:t>
            </w:r>
          </w:p>
        </w:tc>
        <w:tc>
          <w:tcPr>
            <w:tcW w:w="1444" w:type="dxa"/>
          </w:tcPr>
          <w:p>
            <w:pPr>
              <w:pStyle w:val="TableParagraph"/>
              <w:spacing w:before="6"/>
              <w:ind w:left="207" w:right="230"/>
              <w:rPr>
                <w:sz w:val="20"/>
              </w:rPr>
            </w:pPr>
            <w:r>
              <w:rPr>
                <w:spacing w:val="-2"/>
                <w:w w:val="95"/>
                <w:sz w:val="20"/>
              </w:rPr>
              <w:t>0.042</w:t>
            </w:r>
          </w:p>
          <w:p>
            <w:pPr>
              <w:pStyle w:val="TableParagraph"/>
              <w:spacing w:line="217" w:lineRule="exact" w:before="11"/>
              <w:ind w:left="207" w:right="230"/>
              <w:rPr>
                <w:sz w:val="20"/>
              </w:rPr>
            </w:pPr>
            <w:r>
              <w:rPr>
                <w:spacing w:val="-2"/>
                <w:w w:val="95"/>
                <w:sz w:val="20"/>
              </w:rPr>
              <w:t>0.036</w:t>
            </w:r>
          </w:p>
        </w:tc>
      </w:tr>
      <w:tr>
        <w:trPr>
          <w:trHeight w:val="266" w:hRule="atLeast"/>
        </w:trPr>
        <w:tc>
          <w:tcPr>
            <w:tcW w:w="2486" w:type="dxa"/>
            <w:tcBorders>
              <w:bottom w:val="double" w:sz="4" w:space="0" w:color="000000"/>
            </w:tcBorders>
          </w:tcPr>
          <w:p>
            <w:pPr>
              <w:pStyle w:val="TableParagraph"/>
              <w:spacing w:before="2"/>
              <w:ind w:left="-1"/>
              <w:jc w:val="left"/>
              <w:rPr>
                <w:sz w:val="20"/>
              </w:rPr>
            </w:pPr>
            <w:r>
              <w:rPr>
                <w:w w:val="105"/>
                <w:sz w:val="20"/>
              </w:rPr>
              <w:t>F</w:t>
            </w:r>
            <w:r>
              <w:rPr>
                <w:spacing w:val="4"/>
                <w:w w:val="105"/>
                <w:sz w:val="20"/>
              </w:rPr>
              <w:t> </w:t>
            </w:r>
            <w:r>
              <w:rPr>
                <w:w w:val="105"/>
                <w:sz w:val="20"/>
              </w:rPr>
              <w:t>Statistic</w:t>
            </w:r>
            <w:r>
              <w:rPr>
                <w:spacing w:val="5"/>
                <w:w w:val="105"/>
                <w:sz w:val="20"/>
              </w:rPr>
              <w:t> </w:t>
            </w:r>
            <w:r>
              <w:rPr>
                <w:w w:val="105"/>
                <w:sz w:val="20"/>
              </w:rPr>
              <w:t>(df</w:t>
            </w:r>
            <w:r>
              <w:rPr>
                <w:spacing w:val="4"/>
                <w:w w:val="105"/>
                <w:sz w:val="20"/>
              </w:rPr>
              <w:t> </w:t>
            </w:r>
            <w:r>
              <w:rPr>
                <w:w w:val="105"/>
                <w:sz w:val="20"/>
              </w:rPr>
              <w:t>=</w:t>
            </w:r>
            <w:r>
              <w:rPr>
                <w:spacing w:val="5"/>
                <w:w w:val="105"/>
                <w:sz w:val="20"/>
              </w:rPr>
              <w:t> </w:t>
            </w:r>
            <w:r>
              <w:rPr>
                <w:w w:val="105"/>
                <w:sz w:val="20"/>
              </w:rPr>
              <w:t>5;</w:t>
            </w:r>
            <w:r>
              <w:rPr>
                <w:spacing w:val="4"/>
                <w:w w:val="105"/>
                <w:sz w:val="20"/>
              </w:rPr>
              <w:t> </w:t>
            </w:r>
            <w:r>
              <w:rPr>
                <w:spacing w:val="-2"/>
                <w:w w:val="105"/>
                <w:sz w:val="20"/>
              </w:rPr>
              <w:t>10161)</w:t>
            </w:r>
          </w:p>
        </w:tc>
        <w:tc>
          <w:tcPr>
            <w:tcW w:w="1323" w:type="dxa"/>
            <w:tcBorders>
              <w:bottom w:val="double" w:sz="4" w:space="0" w:color="000000"/>
            </w:tcBorders>
          </w:tcPr>
          <w:p>
            <w:pPr>
              <w:pStyle w:val="TableParagraph"/>
              <w:spacing w:line="246" w:lineRule="exact"/>
              <w:ind w:left="120" w:right="202"/>
              <w:rPr>
                <w:rFonts w:ascii="Lucida Sans Unicode" w:hAnsi="Lucida Sans Unicode"/>
                <w:sz w:val="20"/>
              </w:rPr>
            </w:pPr>
            <w:r>
              <w:rPr>
                <w:spacing w:val="-2"/>
                <w:w w:val="95"/>
                <w:sz w:val="20"/>
              </w:rPr>
              <w:t>91.804</w:t>
            </w:r>
            <w:r>
              <w:rPr>
                <w:rFonts w:ascii="Lucida Sans Unicode" w:hAnsi="Lucida Sans Unicode"/>
                <w:spacing w:val="-2"/>
                <w:w w:val="95"/>
                <w:sz w:val="20"/>
                <w:vertAlign w:val="superscript"/>
              </w:rPr>
              <w:t>∗∗∗</w:t>
            </w:r>
          </w:p>
        </w:tc>
        <w:tc>
          <w:tcPr>
            <w:tcW w:w="1444" w:type="dxa"/>
            <w:tcBorders>
              <w:bottom w:val="double" w:sz="4" w:space="0" w:color="000000"/>
            </w:tcBorders>
          </w:tcPr>
          <w:p>
            <w:pPr>
              <w:pStyle w:val="TableParagraph"/>
              <w:spacing w:line="246" w:lineRule="exact"/>
              <w:ind w:left="207" w:right="240"/>
              <w:rPr>
                <w:rFonts w:ascii="Lucida Sans Unicode" w:hAnsi="Lucida Sans Unicode"/>
                <w:sz w:val="20"/>
              </w:rPr>
            </w:pPr>
            <w:r>
              <w:rPr>
                <w:spacing w:val="-2"/>
                <w:w w:val="95"/>
                <w:sz w:val="20"/>
              </w:rPr>
              <w:t>89.749</w:t>
            </w:r>
            <w:r>
              <w:rPr>
                <w:rFonts w:ascii="Lucida Sans Unicode" w:hAnsi="Lucida Sans Unicode"/>
                <w:spacing w:val="-2"/>
                <w:w w:val="95"/>
                <w:sz w:val="20"/>
                <w:vertAlign w:val="superscript"/>
              </w:rPr>
              <w:t>∗∗∗</w:t>
            </w:r>
          </w:p>
        </w:tc>
      </w:tr>
    </w:tbl>
    <w:p>
      <w:pPr>
        <w:pStyle w:val="BodyText"/>
        <w:spacing w:line="232" w:lineRule="auto" w:before="74"/>
        <w:ind w:left="137" w:right="4725"/>
        <w:jc w:val="both"/>
      </w:pPr>
      <w:r>
        <w:rPr>
          <w:rFonts w:ascii="Bookman Old Style" w:hAnsi="Bookman Old Style"/>
          <w:b w:val="0"/>
          <w:i/>
        </w:rPr>
        <w:t>Notes:</w:t>
      </w:r>
      <w:r>
        <w:rPr>
          <w:rFonts w:ascii="Bookman Old Style" w:hAnsi="Bookman Old Style"/>
          <w:b w:val="0"/>
          <w:i/>
          <w:spacing w:val="-4"/>
        </w:rPr>
        <w:t> </w:t>
      </w:r>
      <w:r>
        <w:rPr/>
        <w:t>Models</w:t>
      </w:r>
      <w:r>
        <w:rPr>
          <w:spacing w:val="-11"/>
        </w:rPr>
        <w:t> </w:t>
      </w:r>
      <w:r>
        <w:rPr/>
        <w:t>are</w:t>
      </w:r>
      <w:r>
        <w:rPr>
          <w:spacing w:val="-11"/>
        </w:rPr>
        <w:t> </w:t>
      </w:r>
      <w:r>
        <w:rPr/>
        <w:t>panel</w:t>
      </w:r>
      <w:r>
        <w:rPr>
          <w:spacing w:val="-11"/>
        </w:rPr>
        <w:t> </w:t>
      </w:r>
      <w:r>
        <w:rPr/>
        <w:t>linear</w:t>
      </w:r>
      <w:r>
        <w:rPr>
          <w:spacing w:val="-11"/>
        </w:rPr>
        <w:t> </w:t>
      </w:r>
      <w:r>
        <w:rPr/>
        <w:t>regressions</w:t>
      </w:r>
      <w:r>
        <w:rPr>
          <w:spacing w:val="-11"/>
        </w:rPr>
        <w:t> </w:t>
      </w:r>
      <w:r>
        <w:rPr/>
        <w:t>with</w:t>
      </w:r>
      <w:r>
        <w:rPr>
          <w:spacing w:val="-11"/>
        </w:rPr>
        <w:t> </w:t>
      </w:r>
      <w:r>
        <w:rPr/>
        <w:t>country</w:t>
      </w:r>
      <w:r>
        <w:rPr>
          <w:spacing w:val="-11"/>
        </w:rPr>
        <w:t> </w:t>
      </w:r>
      <w:r>
        <w:rPr/>
        <w:t>fixed</w:t>
      </w:r>
      <w:r>
        <w:rPr>
          <w:spacing w:val="-11"/>
        </w:rPr>
        <w:t> </w:t>
      </w:r>
      <w:r>
        <w:rPr/>
        <w:t>effects. Price</w:t>
      </w:r>
      <w:r>
        <w:rPr>
          <w:spacing w:val="-9"/>
        </w:rPr>
        <w:t> </w:t>
      </w:r>
      <w:r>
        <w:rPr/>
        <w:t>coefficients</w:t>
      </w:r>
      <w:r>
        <w:rPr>
          <w:spacing w:val="-9"/>
        </w:rPr>
        <w:t> </w:t>
      </w:r>
      <w:r>
        <w:rPr/>
        <w:t>show</w:t>
      </w:r>
      <w:r>
        <w:rPr>
          <w:spacing w:val="-9"/>
        </w:rPr>
        <w:t> </w:t>
      </w:r>
      <w:r>
        <w:rPr/>
        <w:t>the</w:t>
      </w:r>
      <w:r>
        <w:rPr>
          <w:spacing w:val="-9"/>
        </w:rPr>
        <w:t> </w:t>
      </w:r>
      <w:r>
        <w:rPr/>
        <w:t>result</w:t>
      </w:r>
      <w:r>
        <w:rPr>
          <w:spacing w:val="-9"/>
        </w:rPr>
        <w:t> </w:t>
      </w:r>
      <w:r>
        <w:rPr/>
        <w:t>of</w:t>
      </w:r>
      <w:r>
        <w:rPr>
          <w:spacing w:val="-9"/>
        </w:rPr>
        <w:t> </w:t>
      </w:r>
      <w:r>
        <w:rPr/>
        <w:t>a</w:t>
      </w:r>
      <w:r>
        <w:rPr>
          <w:spacing w:val="-9"/>
        </w:rPr>
        <w:t> </w:t>
      </w:r>
      <w:r>
        <w:rPr/>
        <w:t>100</w:t>
      </w:r>
      <w:r>
        <w:rPr>
          <w:spacing w:val="-9"/>
        </w:rPr>
        <w:t> </w:t>
      </w:r>
      <w:r>
        <w:rPr/>
        <w:t>dollar</w:t>
      </w:r>
      <w:r>
        <w:rPr>
          <w:spacing w:val="-9"/>
        </w:rPr>
        <w:t> </w:t>
      </w:r>
      <w:r>
        <w:rPr/>
        <w:t>increase</w:t>
      </w:r>
      <w:r>
        <w:rPr>
          <w:spacing w:val="-9"/>
        </w:rPr>
        <w:t> </w:t>
      </w:r>
      <w:r>
        <w:rPr/>
        <w:t>in</w:t>
      </w:r>
      <w:r>
        <w:rPr>
          <w:spacing w:val="-9"/>
        </w:rPr>
        <w:t> </w:t>
      </w:r>
      <w:r>
        <w:rPr/>
        <w:t>oil</w:t>
      </w:r>
      <w:r>
        <w:rPr>
          <w:spacing w:val="-9"/>
        </w:rPr>
        <w:t> </w:t>
      </w:r>
      <w:r>
        <w:rPr/>
        <w:t>prices. Robust</w:t>
      </w:r>
      <w:r>
        <w:rPr>
          <w:spacing w:val="-4"/>
        </w:rPr>
        <w:t> </w:t>
      </w:r>
      <w:r>
        <w:rPr/>
        <w:t>standard</w:t>
      </w:r>
      <w:r>
        <w:rPr>
          <w:spacing w:val="-4"/>
        </w:rPr>
        <w:t> </w:t>
      </w:r>
      <w:r>
        <w:rPr/>
        <w:t>errors</w:t>
      </w:r>
      <w:r>
        <w:rPr>
          <w:spacing w:val="-4"/>
        </w:rPr>
        <w:t> </w:t>
      </w:r>
      <w:r>
        <w:rPr/>
        <w:t>in</w:t>
      </w:r>
      <w:r>
        <w:rPr>
          <w:spacing w:val="-4"/>
        </w:rPr>
        <w:t> </w:t>
      </w:r>
      <w:r>
        <w:rPr/>
        <w:t>parentheses.</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0.1;</w:t>
      </w:r>
      <w:r>
        <w:rPr>
          <w:spacing w:val="-4"/>
          <w:vertAlign w:val="baseline"/>
        </w:rPr>
        <w:t>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0.05;</w:t>
      </w:r>
      <w:r>
        <w:rPr>
          <w:spacing w:val="-4"/>
          <w:vertAlign w:val="baseline"/>
        </w:rPr>
        <w:t> </w:t>
      </w:r>
      <w:r>
        <w:rPr>
          <w:rFonts w:ascii="Lucida Sans Unicode" w:hAnsi="Lucida Sans Unicode"/>
          <w:vertAlign w:val="superscript"/>
        </w:rPr>
        <w:t>∗∗∗</w:t>
      </w:r>
      <w:r>
        <w:rPr>
          <w:vertAlign w:val="baseline"/>
        </w:rPr>
        <w:t>p</w:t>
      </w:r>
      <w:r>
        <w:rPr>
          <w:rFonts w:ascii="Bookman Old Style" w:hAnsi="Bookman Old Style"/>
          <w:b w:val="0"/>
          <w:i/>
          <w:vertAlign w:val="baseline"/>
        </w:rPr>
        <w:t>&lt;</w:t>
      </w:r>
      <w:r>
        <w:rPr>
          <w:vertAlign w:val="baseline"/>
        </w:rPr>
        <w:t>0.01</w:t>
      </w:r>
    </w:p>
    <w:p>
      <w:pPr>
        <w:spacing w:after="0" w:line="232" w:lineRule="auto"/>
        <w:jc w:val="both"/>
        <w:sectPr>
          <w:pgSz w:w="12240" w:h="15840"/>
          <w:pgMar w:header="0" w:footer="1252" w:top="1820" w:bottom="1440" w:left="1280" w:right="40"/>
        </w:sectPr>
      </w:pPr>
    </w:p>
    <w:p>
      <w:pPr>
        <w:pStyle w:val="BodyText"/>
        <w:spacing w:line="316" w:lineRule="auto" w:before="49"/>
        <w:ind w:left="137" w:right="1789" w:firstLine="298"/>
      </w:pPr>
      <w:r>
        <w:rPr/>
        <w:t>Below</w:t>
      </w:r>
      <w:r>
        <w:rPr>
          <w:spacing w:val="-9"/>
        </w:rPr>
        <w:t> </w:t>
      </w:r>
      <w:r>
        <w:rPr/>
        <w:t>are</w:t>
      </w:r>
      <w:r>
        <w:rPr>
          <w:spacing w:val="-8"/>
        </w:rPr>
        <w:t> </w:t>
      </w:r>
      <w:r>
        <w:rPr/>
        <w:t>the</w:t>
      </w:r>
      <w:r>
        <w:rPr>
          <w:spacing w:val="-8"/>
        </w:rPr>
        <w:t> </w:t>
      </w:r>
      <w:r>
        <w:rPr/>
        <w:t>formal</w:t>
      </w:r>
      <w:r>
        <w:rPr>
          <w:spacing w:val="-9"/>
        </w:rPr>
        <w:t> </w:t>
      </w:r>
      <w:r>
        <w:rPr/>
        <w:t>model</w:t>
      </w:r>
      <w:r>
        <w:rPr>
          <w:spacing w:val="-7"/>
        </w:rPr>
        <w:t> </w:t>
      </w:r>
      <w:r>
        <w:rPr/>
        <w:t>specifications</w:t>
      </w:r>
      <w:r>
        <w:rPr>
          <w:spacing w:val="-8"/>
        </w:rPr>
        <w:t> </w:t>
      </w:r>
      <w:r>
        <w:rPr/>
        <w:t>used</w:t>
      </w:r>
      <w:r>
        <w:rPr>
          <w:spacing w:val="-8"/>
        </w:rPr>
        <w:t> </w:t>
      </w:r>
      <w:r>
        <w:rPr/>
        <w:t>for</w:t>
      </w:r>
      <w:r>
        <w:rPr>
          <w:spacing w:val="-8"/>
        </w:rPr>
        <w:t> </w:t>
      </w:r>
      <w:r>
        <w:rPr/>
        <w:t>H2.</w:t>
      </w:r>
      <w:r>
        <w:rPr>
          <w:spacing w:val="8"/>
        </w:rPr>
        <w:t> </w:t>
      </w:r>
      <w:r>
        <w:rPr/>
        <w:t>The</w:t>
      </w:r>
      <w:r>
        <w:rPr>
          <w:spacing w:val="-8"/>
        </w:rPr>
        <w:t> </w:t>
      </w:r>
      <w:r>
        <w:rPr/>
        <w:t>models</w:t>
      </w:r>
      <w:r>
        <w:rPr>
          <w:spacing w:val="-8"/>
        </w:rPr>
        <w:t> </w:t>
      </w:r>
      <w:r>
        <w:rPr/>
        <w:t>using</w:t>
      </w:r>
      <w:r>
        <w:rPr>
          <w:spacing w:val="-8"/>
        </w:rPr>
        <w:t> </w:t>
      </w:r>
      <w:r>
        <w:rPr/>
        <w:t>only</w:t>
      </w:r>
      <w:r>
        <w:rPr>
          <w:spacing w:val="-8"/>
        </w:rPr>
        <w:t> </w:t>
      </w:r>
      <w:r>
        <w:rPr/>
        <w:t>oil</w:t>
      </w:r>
      <w:r>
        <w:rPr>
          <w:spacing w:val="-9"/>
        </w:rPr>
        <w:t> </w:t>
      </w:r>
      <w:r>
        <w:rPr/>
        <w:t>reliant</w:t>
      </w:r>
      <w:r>
        <w:rPr>
          <w:spacing w:val="-8"/>
        </w:rPr>
        <w:t> </w:t>
      </w:r>
      <w:r>
        <w:rPr/>
        <w:t>states</w:t>
      </w:r>
      <w:r>
        <w:rPr>
          <w:spacing w:val="-7"/>
        </w:rPr>
        <w:t> </w:t>
      </w:r>
      <w:r>
        <w:rPr/>
        <w:t>were not able to employ the debt variable due to the limited number of observations.</w:t>
      </w:r>
    </w:p>
    <w:p>
      <w:pPr>
        <w:spacing w:before="104"/>
        <w:ind w:left="436" w:right="0" w:firstLine="0"/>
        <w:jc w:val="left"/>
        <w:rPr>
          <w:sz w:val="20"/>
        </w:rPr>
      </w:pPr>
      <w:r>
        <w:rPr>
          <w:rFonts w:ascii="Bookman Old Style" w:hAnsi="Bookman Old Style"/>
          <w:b w:val="0"/>
          <w:i/>
          <w:sz w:val="20"/>
        </w:rPr>
        <w:t>Military</w:t>
      </w:r>
      <w:r>
        <w:rPr>
          <w:rFonts w:ascii="Bookman Old Style" w:hAnsi="Bookman Old Style"/>
          <w:b w:val="0"/>
          <w:i/>
          <w:spacing w:val="30"/>
          <w:sz w:val="20"/>
        </w:rPr>
        <w:t> </w:t>
      </w:r>
      <w:r>
        <w:rPr>
          <w:rFonts w:ascii="Bookman Old Style" w:hAnsi="Bookman Old Style"/>
          <w:b w:val="0"/>
          <w:i/>
          <w:sz w:val="20"/>
        </w:rPr>
        <w:t>Expenditures</w:t>
      </w:r>
      <w:r>
        <w:rPr>
          <w:rFonts w:ascii="Trebuchet MS" w:hAnsi="Trebuchet MS"/>
          <w:i/>
          <w:sz w:val="20"/>
          <w:vertAlign w:val="subscript"/>
        </w:rPr>
        <w:t>it</w:t>
      </w:r>
      <w:r>
        <w:rPr>
          <w:rFonts w:ascii="Trebuchet MS" w:hAnsi="Trebuchet MS"/>
          <w:i/>
          <w:spacing w:val="30"/>
          <w:sz w:val="20"/>
          <w:vertAlign w:val="baseline"/>
        </w:rPr>
        <w:t> </w:t>
      </w:r>
      <w:r>
        <w:rPr>
          <w:sz w:val="20"/>
          <w:vertAlign w:val="baseline"/>
        </w:rPr>
        <w:t>=</w:t>
      </w:r>
      <w:r>
        <w:rPr>
          <w:spacing w:val="30"/>
          <w:sz w:val="20"/>
          <w:vertAlign w:val="baseline"/>
        </w:rPr>
        <w:t> </w:t>
      </w:r>
      <w:r>
        <w:rPr>
          <w:rFonts w:ascii="Bookman Old Style" w:hAnsi="Bookman Old Style"/>
          <w:b w:val="0"/>
          <w:i/>
          <w:sz w:val="20"/>
          <w:vertAlign w:val="baseline"/>
        </w:rPr>
        <w:t>B</w:t>
      </w:r>
      <w:r>
        <w:rPr>
          <w:rFonts w:ascii="Century Gothic" w:hAnsi="Century Gothic"/>
          <w:sz w:val="20"/>
          <w:vertAlign w:val="subscript"/>
        </w:rPr>
        <w:t>0</w:t>
      </w:r>
      <w:r>
        <w:rPr>
          <w:rFonts w:ascii="Century Gothic" w:hAnsi="Century Gothic"/>
          <w:spacing w:val="13"/>
          <w:sz w:val="20"/>
          <w:vertAlign w:val="baseline"/>
        </w:rPr>
        <w:t> </w:t>
      </w:r>
      <w:r>
        <w:rPr>
          <w:sz w:val="20"/>
          <w:vertAlign w:val="baseline"/>
        </w:rPr>
        <w:t>+</w:t>
      </w:r>
      <w:r>
        <w:rPr>
          <w:spacing w:val="9"/>
          <w:sz w:val="20"/>
          <w:vertAlign w:val="baseline"/>
        </w:rPr>
        <w:t> </w:t>
      </w:r>
      <w:r>
        <w:rPr>
          <w:rFonts w:ascii="Bookman Old Style" w:hAnsi="Bookman Old Style"/>
          <w:b w:val="0"/>
          <w:i/>
          <w:spacing w:val="12"/>
          <w:sz w:val="20"/>
          <w:vertAlign w:val="baseline"/>
        </w:rPr>
        <w:t>B</w:t>
      </w:r>
      <w:r>
        <w:rPr>
          <w:rFonts w:ascii="Century Gothic" w:hAnsi="Century Gothic"/>
          <w:spacing w:val="12"/>
          <w:sz w:val="20"/>
          <w:vertAlign w:val="subscript"/>
        </w:rPr>
        <w:t>1</w:t>
      </w:r>
      <w:r>
        <w:rPr>
          <w:rFonts w:ascii="Bookman Old Style" w:hAnsi="Bookman Old Style"/>
          <w:b w:val="0"/>
          <w:i/>
          <w:spacing w:val="12"/>
          <w:sz w:val="20"/>
          <w:vertAlign w:val="baseline"/>
        </w:rPr>
        <w:t>WTI</w:t>
      </w:r>
      <w:r>
        <w:rPr>
          <w:rFonts w:ascii="Bookman Old Style" w:hAnsi="Bookman Old Style"/>
          <w:b w:val="0"/>
          <w:i/>
          <w:spacing w:val="-4"/>
          <w:sz w:val="20"/>
          <w:vertAlign w:val="baseline"/>
        </w:rPr>
        <w:t> </w:t>
      </w:r>
      <w:r>
        <w:rPr>
          <w:rFonts w:ascii="Bookman Old Style" w:hAnsi="Bookman Old Style"/>
          <w:b w:val="0"/>
          <w:i/>
          <w:sz w:val="20"/>
          <w:vertAlign w:val="baseline"/>
        </w:rPr>
        <w:t>Price</w:t>
      </w:r>
      <w:r>
        <w:rPr>
          <w:rFonts w:ascii="Trebuchet MS" w:hAnsi="Trebuchet MS"/>
          <w:i/>
          <w:sz w:val="20"/>
          <w:vertAlign w:val="subscript"/>
        </w:rPr>
        <w:t>it</w:t>
      </w:r>
      <w:r>
        <w:rPr>
          <w:rFonts w:ascii="Trebuchet MS" w:hAnsi="Trebuchet MS"/>
          <w:i/>
          <w:spacing w:val="8"/>
          <w:sz w:val="20"/>
          <w:vertAlign w:val="baseline"/>
        </w:rPr>
        <w:t> </w:t>
      </w:r>
      <w:r>
        <w:rPr>
          <w:rFonts w:ascii="Lucida Sans Unicode" w:hAnsi="Lucida Sans Unicode"/>
          <w:sz w:val="20"/>
          <w:vertAlign w:val="baseline"/>
        </w:rPr>
        <w:t>∗</w:t>
      </w:r>
      <w:r>
        <w:rPr>
          <w:rFonts w:ascii="Lucida Sans Unicode" w:hAnsi="Lucida Sans Unicode"/>
          <w:spacing w:val="-6"/>
          <w:sz w:val="20"/>
          <w:vertAlign w:val="baseline"/>
        </w:rPr>
        <w:t> </w:t>
      </w:r>
      <w:r>
        <w:rPr>
          <w:rFonts w:ascii="Bookman Old Style" w:hAnsi="Bookman Old Style"/>
          <w:b w:val="0"/>
          <w:i/>
          <w:sz w:val="20"/>
          <w:vertAlign w:val="baseline"/>
        </w:rPr>
        <w:t>Oil</w:t>
      </w:r>
      <w:r>
        <w:rPr>
          <w:rFonts w:ascii="Bookman Old Style" w:hAnsi="Bookman Old Style"/>
          <w:b w:val="0"/>
          <w:i/>
          <w:spacing w:val="-16"/>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rFonts w:ascii="Trebuchet MS" w:hAnsi="Trebuchet MS"/>
          <w:i/>
          <w:spacing w:val="8"/>
          <w:sz w:val="20"/>
          <w:vertAlign w:val="baseline"/>
        </w:rPr>
        <w:t> </w:t>
      </w:r>
      <w:r>
        <w:rPr>
          <w:sz w:val="20"/>
          <w:vertAlign w:val="baseline"/>
        </w:rPr>
        <w:t>+</w:t>
      </w:r>
      <w:r>
        <w:rPr>
          <w:spacing w:val="9"/>
          <w:sz w:val="20"/>
          <w:vertAlign w:val="baseline"/>
        </w:rPr>
        <w:t> </w:t>
      </w:r>
      <w:r>
        <w:rPr>
          <w:rFonts w:ascii="Bookman Old Style" w:hAnsi="Bookman Old Style"/>
          <w:b w:val="0"/>
          <w:i/>
          <w:spacing w:val="12"/>
          <w:sz w:val="20"/>
          <w:vertAlign w:val="baseline"/>
        </w:rPr>
        <w:t>B</w:t>
      </w:r>
      <w:r>
        <w:rPr>
          <w:rFonts w:ascii="Century Gothic" w:hAnsi="Century Gothic"/>
          <w:spacing w:val="12"/>
          <w:sz w:val="20"/>
          <w:vertAlign w:val="subscript"/>
        </w:rPr>
        <w:t>2</w:t>
      </w:r>
      <w:r>
        <w:rPr>
          <w:rFonts w:ascii="Bookman Old Style" w:hAnsi="Bookman Old Style"/>
          <w:b w:val="0"/>
          <w:i/>
          <w:spacing w:val="12"/>
          <w:sz w:val="20"/>
          <w:vertAlign w:val="baseline"/>
        </w:rPr>
        <w:t>WTI</w:t>
      </w:r>
      <w:r>
        <w:rPr>
          <w:rFonts w:ascii="Bookman Old Style" w:hAnsi="Bookman Old Style"/>
          <w:b w:val="0"/>
          <w:i/>
          <w:spacing w:val="-4"/>
          <w:sz w:val="20"/>
          <w:vertAlign w:val="baseline"/>
        </w:rPr>
        <w:t> </w:t>
      </w:r>
      <w:r>
        <w:rPr>
          <w:rFonts w:ascii="Bookman Old Style" w:hAnsi="Bookman Old Style"/>
          <w:b w:val="0"/>
          <w:i/>
          <w:sz w:val="20"/>
          <w:vertAlign w:val="baseline"/>
        </w:rPr>
        <w:t>Price</w:t>
      </w:r>
      <w:r>
        <w:rPr>
          <w:rFonts w:ascii="Trebuchet MS" w:hAnsi="Trebuchet MS"/>
          <w:i/>
          <w:sz w:val="20"/>
          <w:vertAlign w:val="subscript"/>
        </w:rPr>
        <w:t>it</w:t>
      </w:r>
      <w:r>
        <w:rPr>
          <w:rFonts w:ascii="Trebuchet MS" w:hAnsi="Trebuchet MS"/>
          <w:i/>
          <w:spacing w:val="9"/>
          <w:sz w:val="20"/>
          <w:vertAlign w:val="baseline"/>
        </w:rPr>
        <w:t> </w:t>
      </w:r>
      <w:r>
        <w:rPr>
          <w:sz w:val="20"/>
          <w:vertAlign w:val="baseline"/>
        </w:rPr>
        <w:t>+</w:t>
      </w:r>
      <w:r>
        <w:rPr>
          <w:spacing w:val="8"/>
          <w:sz w:val="20"/>
          <w:vertAlign w:val="baseline"/>
        </w:rPr>
        <w:t> </w:t>
      </w:r>
      <w:r>
        <w:rPr>
          <w:rFonts w:ascii="Bookman Old Style" w:hAnsi="Bookman Old Style"/>
          <w:b w:val="0"/>
          <w:i/>
          <w:sz w:val="20"/>
          <w:vertAlign w:val="baseline"/>
        </w:rPr>
        <w:t>B</w:t>
      </w:r>
      <w:r>
        <w:rPr>
          <w:rFonts w:ascii="Century Gothic" w:hAnsi="Century Gothic"/>
          <w:sz w:val="20"/>
          <w:vertAlign w:val="subscript"/>
        </w:rPr>
        <w:t>3</w:t>
      </w:r>
      <w:r>
        <w:rPr>
          <w:rFonts w:ascii="Bookman Old Style" w:hAnsi="Bookman Old Style"/>
          <w:b w:val="0"/>
          <w:i/>
          <w:sz w:val="20"/>
          <w:vertAlign w:val="baseline"/>
        </w:rPr>
        <w:t>Oil</w:t>
      </w:r>
      <w:r>
        <w:rPr>
          <w:rFonts w:ascii="Bookman Old Style" w:hAnsi="Bookman Old Style"/>
          <w:b w:val="0"/>
          <w:i/>
          <w:spacing w:val="-16"/>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rFonts w:ascii="Trebuchet MS" w:hAnsi="Trebuchet MS"/>
          <w:i/>
          <w:spacing w:val="8"/>
          <w:sz w:val="20"/>
          <w:vertAlign w:val="baseline"/>
        </w:rPr>
        <w:t> </w:t>
      </w:r>
      <w:r>
        <w:rPr>
          <w:spacing w:val="-10"/>
          <w:sz w:val="20"/>
          <w:vertAlign w:val="baseline"/>
        </w:rPr>
        <w:t>+</w:t>
      </w:r>
    </w:p>
    <w:p>
      <w:pPr>
        <w:spacing w:before="10"/>
        <w:ind w:left="137" w:right="0" w:firstLine="0"/>
        <w:jc w:val="left"/>
        <w:rPr>
          <w:rFonts w:ascii="Bookman Old Style"/>
          <w:b w:val="0"/>
          <w:i/>
          <w:sz w:val="20"/>
        </w:rPr>
      </w:pPr>
      <w:r>
        <w:rPr>
          <w:rFonts w:ascii="Bookman Old Style"/>
          <w:b w:val="0"/>
          <w:i/>
          <w:sz w:val="20"/>
        </w:rPr>
        <w:t>B</w:t>
      </w:r>
      <w:r>
        <w:rPr>
          <w:rFonts w:ascii="Century Gothic"/>
          <w:sz w:val="20"/>
          <w:vertAlign w:val="subscript"/>
        </w:rPr>
        <w:t>4</w:t>
      </w:r>
      <w:r>
        <w:rPr>
          <w:rFonts w:ascii="Bookman Old Style"/>
          <w:b w:val="0"/>
          <w:i/>
          <w:sz w:val="20"/>
          <w:vertAlign w:val="baseline"/>
        </w:rPr>
        <w:t>log</w:t>
      </w:r>
      <w:r>
        <w:rPr>
          <w:sz w:val="20"/>
          <w:vertAlign w:val="baseline"/>
        </w:rPr>
        <w:t>(</w:t>
      </w:r>
      <w:r>
        <w:rPr>
          <w:rFonts w:ascii="Bookman Old Style"/>
          <w:b w:val="0"/>
          <w:i/>
          <w:sz w:val="20"/>
          <w:vertAlign w:val="baseline"/>
        </w:rPr>
        <w:t>GDP</w:t>
      </w:r>
      <w:r>
        <w:rPr>
          <w:rFonts w:ascii="Bookman Old Style"/>
          <w:b w:val="0"/>
          <w:i/>
          <w:spacing w:val="-22"/>
          <w:sz w:val="20"/>
          <w:vertAlign w:val="baseline"/>
        </w:rPr>
        <w:t> </w:t>
      </w:r>
      <w:r>
        <w:rPr>
          <w:sz w:val="20"/>
          <w:vertAlign w:val="baseline"/>
        </w:rPr>
        <w:t>)</w:t>
      </w:r>
      <w:r>
        <w:rPr>
          <w:rFonts w:ascii="Trebuchet MS"/>
          <w:i/>
          <w:sz w:val="20"/>
          <w:vertAlign w:val="subscript"/>
        </w:rPr>
        <w:t>it</w:t>
      </w:r>
      <w:r>
        <w:rPr>
          <w:rFonts w:ascii="Trebuchet MS"/>
          <w:i/>
          <w:spacing w:val="16"/>
          <w:sz w:val="20"/>
          <w:vertAlign w:val="baseline"/>
        </w:rPr>
        <w:t> </w:t>
      </w:r>
      <w:r>
        <w:rPr>
          <w:sz w:val="20"/>
          <w:vertAlign w:val="baseline"/>
        </w:rPr>
        <w:t>+</w:t>
      </w:r>
      <w:r>
        <w:rPr>
          <w:spacing w:val="14"/>
          <w:sz w:val="20"/>
          <w:vertAlign w:val="baseline"/>
        </w:rPr>
        <w:t> </w:t>
      </w:r>
      <w:r>
        <w:rPr>
          <w:rFonts w:ascii="Bookman Old Style"/>
          <w:b w:val="0"/>
          <w:i/>
          <w:spacing w:val="9"/>
          <w:sz w:val="20"/>
          <w:vertAlign w:val="baseline"/>
        </w:rPr>
        <w:t>B</w:t>
      </w:r>
      <w:r>
        <w:rPr>
          <w:rFonts w:ascii="Century Gothic"/>
          <w:spacing w:val="9"/>
          <w:sz w:val="20"/>
          <w:vertAlign w:val="subscript"/>
        </w:rPr>
        <w:t>5</w:t>
      </w:r>
      <w:r>
        <w:rPr>
          <w:rFonts w:ascii="Bookman Old Style"/>
          <w:b w:val="0"/>
          <w:i/>
          <w:spacing w:val="9"/>
          <w:sz w:val="20"/>
          <w:vertAlign w:val="baseline"/>
        </w:rPr>
        <w:t>FX</w:t>
      </w:r>
      <w:r>
        <w:rPr>
          <w:rFonts w:ascii="Bookman Old Style"/>
          <w:b w:val="0"/>
          <w:i/>
          <w:spacing w:val="7"/>
          <w:sz w:val="20"/>
          <w:vertAlign w:val="baseline"/>
        </w:rPr>
        <w:t> </w:t>
      </w:r>
      <w:r>
        <w:rPr>
          <w:rFonts w:ascii="Bookman Old Style"/>
          <w:b w:val="0"/>
          <w:i/>
          <w:sz w:val="20"/>
          <w:vertAlign w:val="baseline"/>
        </w:rPr>
        <w:t>Reserves</w:t>
      </w:r>
      <w:r>
        <w:rPr>
          <w:rFonts w:ascii="Trebuchet MS"/>
          <w:i/>
          <w:sz w:val="20"/>
          <w:vertAlign w:val="subscript"/>
        </w:rPr>
        <w:t>it</w:t>
      </w:r>
      <w:r>
        <w:rPr>
          <w:rFonts w:ascii="Trebuchet MS"/>
          <w:i/>
          <w:spacing w:val="17"/>
          <w:sz w:val="20"/>
          <w:vertAlign w:val="baseline"/>
        </w:rPr>
        <w:t> </w:t>
      </w:r>
      <w:r>
        <w:rPr>
          <w:sz w:val="20"/>
          <w:vertAlign w:val="baseline"/>
        </w:rPr>
        <w:t>+</w:t>
      </w:r>
      <w:r>
        <w:rPr>
          <w:spacing w:val="14"/>
          <w:sz w:val="20"/>
          <w:vertAlign w:val="baseline"/>
        </w:rPr>
        <w:t> </w:t>
      </w:r>
      <w:r>
        <w:rPr>
          <w:rFonts w:ascii="Bookman Old Style"/>
          <w:b w:val="0"/>
          <w:i/>
          <w:sz w:val="20"/>
          <w:vertAlign w:val="baseline"/>
        </w:rPr>
        <w:t>B</w:t>
      </w:r>
      <w:r>
        <w:rPr>
          <w:rFonts w:ascii="Century Gothic"/>
          <w:sz w:val="20"/>
          <w:vertAlign w:val="subscript"/>
        </w:rPr>
        <w:t>6</w:t>
      </w:r>
      <w:r>
        <w:rPr>
          <w:rFonts w:ascii="Bookman Old Style"/>
          <w:b w:val="0"/>
          <w:i/>
          <w:sz w:val="20"/>
          <w:vertAlign w:val="baseline"/>
        </w:rPr>
        <w:t>Gov</w:t>
      </w:r>
      <w:r>
        <w:rPr>
          <w:rFonts w:ascii="Bookman Old Style"/>
          <w:b w:val="0"/>
          <w:i/>
          <w:spacing w:val="-4"/>
          <w:sz w:val="20"/>
          <w:vertAlign w:val="baseline"/>
        </w:rPr>
        <w:t> </w:t>
      </w:r>
      <w:r>
        <w:rPr>
          <w:rFonts w:ascii="Bookman Old Style"/>
          <w:b w:val="0"/>
          <w:i/>
          <w:sz w:val="20"/>
          <w:vertAlign w:val="baseline"/>
        </w:rPr>
        <w:t>Debt</w:t>
      </w:r>
      <w:r>
        <w:rPr>
          <w:rFonts w:ascii="Trebuchet MS"/>
          <w:i/>
          <w:sz w:val="20"/>
          <w:vertAlign w:val="subscript"/>
        </w:rPr>
        <w:t>it</w:t>
      </w:r>
      <w:r>
        <w:rPr>
          <w:rFonts w:ascii="Trebuchet MS"/>
          <w:i/>
          <w:spacing w:val="16"/>
          <w:sz w:val="20"/>
          <w:vertAlign w:val="baseline"/>
        </w:rPr>
        <w:t> </w:t>
      </w:r>
      <w:r>
        <w:rPr>
          <w:sz w:val="20"/>
          <w:vertAlign w:val="baseline"/>
        </w:rPr>
        <w:t>+</w:t>
      </w:r>
      <w:r>
        <w:rPr>
          <w:spacing w:val="14"/>
          <w:sz w:val="20"/>
          <w:vertAlign w:val="baseline"/>
        </w:rPr>
        <w:t> </w:t>
      </w:r>
      <w:r>
        <w:rPr>
          <w:rFonts w:ascii="Bookman Old Style"/>
          <w:b w:val="0"/>
          <w:i/>
          <w:sz w:val="20"/>
          <w:vertAlign w:val="baseline"/>
        </w:rPr>
        <w:t>C</w:t>
      </w:r>
      <w:r>
        <w:rPr>
          <w:rFonts w:ascii="Trebuchet MS"/>
          <w:i/>
          <w:sz w:val="20"/>
          <w:vertAlign w:val="subscript"/>
        </w:rPr>
        <w:t>i</w:t>
      </w:r>
      <w:r>
        <w:rPr>
          <w:rFonts w:ascii="Trebuchet MS"/>
          <w:i/>
          <w:spacing w:val="17"/>
          <w:sz w:val="20"/>
          <w:vertAlign w:val="baseline"/>
        </w:rPr>
        <w:t> </w:t>
      </w:r>
      <w:r>
        <w:rPr>
          <w:sz w:val="20"/>
          <w:vertAlign w:val="baseline"/>
        </w:rPr>
        <w:t>+</w:t>
      </w:r>
      <w:r>
        <w:rPr>
          <w:spacing w:val="14"/>
          <w:sz w:val="20"/>
          <w:vertAlign w:val="baseline"/>
        </w:rPr>
        <w:t> </w:t>
      </w:r>
      <w:r>
        <w:rPr>
          <w:rFonts w:ascii="Bookman Old Style"/>
          <w:b w:val="0"/>
          <w:i/>
          <w:spacing w:val="-10"/>
          <w:sz w:val="20"/>
          <w:vertAlign w:val="baseline"/>
        </w:rPr>
        <w:t>e</w:t>
      </w:r>
    </w:p>
    <w:p>
      <w:pPr>
        <w:spacing w:line="247" w:lineRule="auto" w:before="175"/>
        <w:ind w:left="137" w:right="1789" w:firstLine="298"/>
        <w:jc w:val="left"/>
        <w:rPr>
          <w:rFonts w:ascii="Bookman Old Style" w:hAnsi="Bookman Old Style"/>
          <w:b w:val="0"/>
          <w:i/>
          <w:sz w:val="20"/>
        </w:rPr>
      </w:pPr>
      <w:r>
        <w:rPr>
          <w:rFonts w:ascii="Bookman Old Style" w:hAnsi="Bookman Old Style"/>
          <w:b w:val="0"/>
          <w:i/>
          <w:sz w:val="20"/>
        </w:rPr>
        <w:t>Military</w:t>
      </w:r>
      <w:r>
        <w:rPr>
          <w:rFonts w:ascii="Bookman Old Style" w:hAnsi="Bookman Old Style"/>
          <w:b w:val="0"/>
          <w:i/>
          <w:spacing w:val="34"/>
          <w:sz w:val="20"/>
        </w:rPr>
        <w:t> </w:t>
      </w:r>
      <w:r>
        <w:rPr>
          <w:rFonts w:ascii="Bookman Old Style" w:hAnsi="Bookman Old Style"/>
          <w:b w:val="0"/>
          <w:i/>
          <w:sz w:val="20"/>
        </w:rPr>
        <w:t>Expenditures</w:t>
      </w:r>
      <w:r>
        <w:rPr>
          <w:rFonts w:ascii="Trebuchet MS" w:hAnsi="Trebuchet MS"/>
          <w:i/>
          <w:sz w:val="20"/>
          <w:vertAlign w:val="subscript"/>
        </w:rPr>
        <w:t>it</w:t>
      </w:r>
      <w:r>
        <w:rPr>
          <w:rFonts w:ascii="Trebuchet MS" w:hAnsi="Trebuchet MS"/>
          <w:i/>
          <w:spacing w:val="62"/>
          <w:sz w:val="20"/>
          <w:vertAlign w:val="baseline"/>
        </w:rPr>
        <w:t> </w:t>
      </w:r>
      <w:r>
        <w:rPr>
          <w:sz w:val="20"/>
          <w:vertAlign w:val="baseline"/>
        </w:rPr>
        <w:t>=</w:t>
      </w:r>
      <w:r>
        <w:rPr>
          <w:spacing w:val="55"/>
          <w:sz w:val="20"/>
          <w:vertAlign w:val="baseline"/>
        </w:rPr>
        <w:t> </w:t>
      </w:r>
      <w:r>
        <w:rPr>
          <w:rFonts w:ascii="Bookman Old Style" w:hAnsi="Bookman Old Style"/>
          <w:b w:val="0"/>
          <w:i/>
          <w:spacing w:val="9"/>
          <w:sz w:val="20"/>
          <w:vertAlign w:val="baseline"/>
        </w:rPr>
        <w:t>B</w:t>
      </w:r>
      <w:r>
        <w:rPr>
          <w:rFonts w:ascii="Century Gothic" w:hAnsi="Century Gothic"/>
          <w:spacing w:val="9"/>
          <w:sz w:val="20"/>
          <w:vertAlign w:val="subscript"/>
        </w:rPr>
        <w:t>0</w:t>
      </w:r>
      <w:r>
        <w:rPr>
          <w:spacing w:val="9"/>
          <w:sz w:val="20"/>
          <w:vertAlign w:val="baseline"/>
        </w:rPr>
        <w:t>+</w:t>
      </w:r>
      <w:r>
        <w:rPr>
          <w:rFonts w:ascii="Bookman Old Style" w:hAnsi="Bookman Old Style"/>
          <w:b w:val="0"/>
          <w:i/>
          <w:spacing w:val="9"/>
          <w:sz w:val="20"/>
          <w:vertAlign w:val="baseline"/>
        </w:rPr>
        <w:t>B</w:t>
      </w:r>
      <w:r>
        <w:rPr>
          <w:rFonts w:ascii="Century Gothic" w:hAnsi="Century Gothic"/>
          <w:spacing w:val="9"/>
          <w:sz w:val="20"/>
          <w:vertAlign w:val="subscript"/>
        </w:rPr>
        <w:t>1</w:t>
      </w:r>
      <w:r>
        <w:rPr>
          <w:rFonts w:ascii="Bookman Old Style" w:hAnsi="Bookman Old Style"/>
          <w:b w:val="0"/>
          <w:i/>
          <w:spacing w:val="9"/>
          <w:sz w:val="20"/>
          <w:vertAlign w:val="baseline"/>
        </w:rPr>
        <w:t>WTI</w:t>
      </w:r>
      <w:r>
        <w:rPr>
          <w:rFonts w:ascii="Bookman Old Style" w:hAnsi="Bookman Old Style"/>
          <w:b w:val="0"/>
          <w:i/>
          <w:spacing w:val="30"/>
          <w:sz w:val="20"/>
          <w:vertAlign w:val="baseline"/>
        </w:rPr>
        <w:t> </w:t>
      </w:r>
      <w:r>
        <w:rPr>
          <w:rFonts w:ascii="Bookman Old Style" w:hAnsi="Bookman Old Style"/>
          <w:b w:val="0"/>
          <w:i/>
          <w:spacing w:val="23"/>
          <w:w w:val="97"/>
          <w:sz w:val="20"/>
          <w:vertAlign w:val="baseline"/>
        </w:rPr>
        <w:t>P</w:t>
      </w:r>
      <w:r>
        <w:rPr>
          <w:rFonts w:ascii="Bookman Old Style" w:hAnsi="Bookman Old Style"/>
          <w:b w:val="0"/>
          <w:i/>
          <w:spacing w:val="1"/>
          <w:w w:val="103"/>
          <w:sz w:val="20"/>
          <w:vertAlign w:val="baseline"/>
        </w:rPr>
        <w:t>r</w:t>
      </w:r>
      <w:r>
        <w:rPr>
          <w:rFonts w:ascii="Bookman Old Style" w:hAnsi="Bookman Old Style"/>
          <w:b w:val="0"/>
          <w:i/>
          <w:spacing w:val="-4"/>
          <w:w w:val="86"/>
          <w:sz w:val="20"/>
          <w:vertAlign w:val="baseline"/>
        </w:rPr>
        <w:t>ice</w:t>
      </w:r>
      <w:r>
        <w:rPr>
          <w:rFonts w:ascii="Trebuchet MS" w:hAnsi="Trebuchet MS"/>
          <w:i/>
          <w:spacing w:val="6"/>
          <w:w w:val="131"/>
          <w:sz w:val="20"/>
          <w:vertAlign w:val="subscript"/>
        </w:rPr>
        <w:t>i</w:t>
      </w:r>
      <w:r>
        <w:rPr>
          <w:rFonts w:ascii="Century Gothic" w:hAnsi="Century Gothic"/>
          <w:spacing w:val="-4"/>
          <w:w w:val="120"/>
          <w:sz w:val="20"/>
          <w:vertAlign w:val="subscript"/>
        </w:rPr>
        <w:t>(</w:t>
      </w:r>
      <w:r>
        <w:rPr>
          <w:rFonts w:ascii="Trebuchet MS" w:hAnsi="Trebuchet MS"/>
          <w:i/>
          <w:spacing w:val="-4"/>
          <w:sz w:val="20"/>
          <w:vertAlign w:val="subscript"/>
        </w:rPr>
        <w:t>t</w:t>
      </w:r>
      <w:r>
        <w:rPr>
          <w:rFonts w:ascii="Lucida Sans Unicode" w:hAnsi="Lucida Sans Unicode"/>
          <w:spacing w:val="-4"/>
          <w:w w:val="110"/>
          <w:sz w:val="20"/>
          <w:vertAlign w:val="subscript"/>
        </w:rPr>
        <w:t>−</w:t>
      </w:r>
      <w:r>
        <w:rPr>
          <w:rFonts w:ascii="Century Gothic" w:hAnsi="Century Gothic"/>
          <w:spacing w:val="-4"/>
          <w:w w:val="108"/>
          <w:sz w:val="20"/>
          <w:vertAlign w:val="subscript"/>
        </w:rPr>
        <w:t>1</w:t>
      </w:r>
      <w:r>
        <w:rPr>
          <w:rFonts w:ascii="Century Gothic" w:hAnsi="Century Gothic"/>
          <w:spacing w:val="6"/>
          <w:w w:val="108"/>
          <w:sz w:val="20"/>
          <w:vertAlign w:val="subscript"/>
        </w:rPr>
        <w:t>)</w:t>
      </w:r>
      <w:r>
        <w:rPr>
          <w:rFonts w:ascii="Lucida Sans Unicode" w:hAnsi="Lucida Sans Unicode"/>
          <w:spacing w:val="-4"/>
          <w:w w:val="53"/>
          <w:sz w:val="20"/>
          <w:vertAlign w:val="baseline"/>
        </w:rPr>
        <w:t>∗</w:t>
      </w:r>
      <w:r>
        <w:rPr>
          <w:rFonts w:ascii="Bookman Old Style" w:hAnsi="Bookman Old Style"/>
          <w:b w:val="0"/>
          <w:i/>
          <w:spacing w:val="1"/>
          <w:w w:val="90"/>
          <w:sz w:val="20"/>
          <w:vertAlign w:val="baseline"/>
        </w:rPr>
        <w:t>O</w:t>
      </w:r>
      <w:r>
        <w:rPr>
          <w:rFonts w:ascii="Bookman Old Style" w:hAnsi="Bookman Old Style"/>
          <w:b w:val="0"/>
          <w:i/>
          <w:spacing w:val="-4"/>
          <w:w w:val="105"/>
          <w:sz w:val="20"/>
          <w:vertAlign w:val="baseline"/>
        </w:rPr>
        <w:t>il</w:t>
      </w:r>
      <w:r>
        <w:rPr>
          <w:rFonts w:ascii="Bookman Old Style" w:hAnsi="Bookman Old Style"/>
          <w:b w:val="0"/>
          <w:i/>
          <w:spacing w:val="9"/>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2</w:t>
      </w:r>
      <w:r>
        <w:rPr>
          <w:rFonts w:ascii="Bookman Old Style" w:hAnsi="Bookman Old Style"/>
          <w:b w:val="0"/>
          <w:i/>
          <w:sz w:val="20"/>
          <w:vertAlign w:val="baseline"/>
        </w:rPr>
        <w:t>WTI</w:t>
      </w:r>
      <w:r>
        <w:rPr>
          <w:rFonts w:ascii="Bookman Old Style" w:hAnsi="Bookman Old Style"/>
          <w:b w:val="0"/>
          <w:i/>
          <w:spacing w:val="30"/>
          <w:sz w:val="20"/>
          <w:vertAlign w:val="baseline"/>
        </w:rPr>
        <w:t> </w:t>
      </w:r>
      <w:r>
        <w:rPr>
          <w:rFonts w:ascii="Bookman Old Style" w:hAnsi="Bookman Old Style"/>
          <w:b w:val="0"/>
          <w:i/>
          <w:sz w:val="20"/>
          <w:vertAlign w:val="baseline"/>
        </w:rPr>
        <w:t>Price</w:t>
      </w:r>
      <w:r>
        <w:rPr>
          <w:rFonts w:ascii="Trebuchet MS" w:hAnsi="Trebuchet MS"/>
          <w:i/>
          <w:sz w:val="20"/>
          <w:vertAlign w:val="subscript"/>
        </w:rPr>
        <w:t>i</w:t>
      </w:r>
      <w:r>
        <w:rPr>
          <w:rFonts w:ascii="Century Gothic" w:hAnsi="Century Gothic"/>
          <w:sz w:val="20"/>
          <w:vertAlign w:val="subscript"/>
        </w:rPr>
        <w:t>(</w:t>
      </w:r>
      <w:r>
        <w:rPr>
          <w:rFonts w:ascii="Trebuchet MS" w:hAnsi="Trebuchet MS"/>
          <w:i/>
          <w:sz w:val="20"/>
          <w:vertAlign w:val="subscript"/>
        </w:rPr>
        <w:t>t</w:t>
      </w:r>
      <w:r>
        <w:rPr>
          <w:rFonts w:ascii="Lucida Sans Unicode" w:hAnsi="Lucida Sans Unicode"/>
          <w:sz w:val="20"/>
          <w:vertAlign w:val="subscript"/>
        </w:rPr>
        <w:t>−</w:t>
      </w:r>
      <w:r>
        <w:rPr>
          <w:rFonts w:ascii="Century Gothic" w:hAnsi="Century Gothic"/>
          <w:sz w:val="20"/>
          <w:vertAlign w:val="subscript"/>
        </w:rPr>
        <w:t>1)</w:t>
      </w:r>
      <w:r>
        <w:rPr>
          <w:sz w:val="20"/>
          <w:vertAlign w:val="baseline"/>
        </w:rPr>
        <w:t>+</w:t>
      </w:r>
      <w:r>
        <w:rPr>
          <w:rFonts w:ascii="Bookman Old Style" w:hAnsi="Bookman Old Style"/>
          <w:b w:val="0"/>
          <w:i/>
          <w:sz w:val="20"/>
          <w:vertAlign w:val="baseline"/>
        </w:rPr>
        <w:t>B</w:t>
      </w:r>
      <w:r>
        <w:rPr>
          <w:rFonts w:ascii="Century Gothic" w:hAnsi="Century Gothic"/>
          <w:sz w:val="20"/>
          <w:vertAlign w:val="subscript"/>
        </w:rPr>
        <w:t>3</w:t>
      </w:r>
      <w:r>
        <w:rPr>
          <w:rFonts w:ascii="Bookman Old Style" w:hAnsi="Bookman Old Style"/>
          <w:b w:val="0"/>
          <w:i/>
          <w:sz w:val="20"/>
          <w:vertAlign w:val="baseline"/>
        </w:rPr>
        <w:t>Oil</w:t>
      </w:r>
      <w:r>
        <w:rPr>
          <w:rFonts w:ascii="Bookman Old Style" w:hAnsi="Bookman Old Style"/>
          <w:b w:val="0"/>
          <w:i/>
          <w:spacing w:val="9"/>
          <w:sz w:val="20"/>
          <w:vertAlign w:val="baseline"/>
        </w:rPr>
        <w:t> </w:t>
      </w:r>
      <w:r>
        <w:rPr>
          <w:rFonts w:ascii="Bookman Old Style" w:hAnsi="Bookman Old Style"/>
          <w:b w:val="0"/>
          <w:i/>
          <w:sz w:val="20"/>
          <w:vertAlign w:val="baseline"/>
        </w:rPr>
        <w:t>Rents</w:t>
      </w:r>
      <w:r>
        <w:rPr>
          <w:rFonts w:ascii="Trebuchet MS" w:hAnsi="Trebuchet MS"/>
          <w:i/>
          <w:sz w:val="20"/>
          <w:vertAlign w:val="subscript"/>
        </w:rPr>
        <w:t>it</w:t>
      </w:r>
      <w:r>
        <w:rPr>
          <w:sz w:val="20"/>
          <w:vertAlign w:val="baseline"/>
        </w:rPr>
        <w:t>+</w:t>
      </w:r>
      <w:r>
        <w:rPr>
          <w:spacing w:val="40"/>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4</w:t>
      </w:r>
      <w:r>
        <w:rPr>
          <w:rFonts w:ascii="Bookman Old Style" w:hAnsi="Bookman Old Style"/>
          <w:b w:val="0"/>
          <w:i/>
          <w:w w:val="105"/>
          <w:sz w:val="20"/>
          <w:vertAlign w:val="baseline"/>
        </w:rPr>
        <w:t>log</w:t>
      </w:r>
      <w:r>
        <w:rPr>
          <w:w w:val="105"/>
          <w:sz w:val="20"/>
          <w:vertAlign w:val="baseline"/>
        </w:rPr>
        <w:t>(</w:t>
      </w:r>
      <w:r>
        <w:rPr>
          <w:rFonts w:ascii="Bookman Old Style" w:hAnsi="Bookman Old Style"/>
          <w:b w:val="0"/>
          <w:i/>
          <w:w w:val="105"/>
          <w:sz w:val="20"/>
          <w:vertAlign w:val="baseline"/>
        </w:rPr>
        <w:t>GDP</w:t>
      </w:r>
      <w:r>
        <w:rPr>
          <w:rFonts w:ascii="Bookman Old Style" w:hAnsi="Bookman Old Style"/>
          <w:b w:val="0"/>
          <w:i/>
          <w:spacing w:val="-29"/>
          <w:w w:val="105"/>
          <w:sz w:val="20"/>
          <w:vertAlign w:val="baseline"/>
        </w:rPr>
        <w:t> </w:t>
      </w:r>
      <w:r>
        <w:rPr>
          <w:w w:val="105"/>
          <w:sz w:val="20"/>
          <w:vertAlign w:val="baseline"/>
        </w:rPr>
        <w:t>)</w:t>
      </w:r>
      <w:r>
        <w:rPr>
          <w:rFonts w:ascii="Trebuchet MS" w:hAnsi="Trebuchet MS"/>
          <w:i/>
          <w:w w:val="105"/>
          <w:sz w:val="20"/>
          <w:vertAlign w:val="subscript"/>
        </w:rPr>
        <w:t>it</w:t>
      </w:r>
      <w:r>
        <w:rPr>
          <w:rFonts w:ascii="Trebuchet MS" w:hAnsi="Trebuchet MS"/>
          <w:i/>
          <w:w w:val="105"/>
          <w:sz w:val="20"/>
          <w:vertAlign w:val="baseline"/>
        </w:rPr>
        <w:t> </w:t>
      </w:r>
      <w:r>
        <w:rPr>
          <w:w w:val="105"/>
          <w:sz w:val="20"/>
          <w:vertAlign w:val="baseline"/>
        </w:rPr>
        <w:t>+ </w:t>
      </w:r>
      <w:r>
        <w:rPr>
          <w:rFonts w:ascii="Bookman Old Style" w:hAnsi="Bookman Old Style"/>
          <w:b w:val="0"/>
          <w:i/>
          <w:spacing w:val="9"/>
          <w:w w:val="105"/>
          <w:sz w:val="20"/>
          <w:vertAlign w:val="baseline"/>
        </w:rPr>
        <w:t>B</w:t>
      </w:r>
      <w:r>
        <w:rPr>
          <w:rFonts w:ascii="Century Gothic" w:hAnsi="Century Gothic"/>
          <w:spacing w:val="9"/>
          <w:w w:val="105"/>
          <w:sz w:val="20"/>
          <w:vertAlign w:val="subscript"/>
        </w:rPr>
        <w:t>5</w:t>
      </w:r>
      <w:r>
        <w:rPr>
          <w:rFonts w:ascii="Bookman Old Style" w:hAnsi="Bookman Old Style"/>
          <w:b w:val="0"/>
          <w:i/>
          <w:spacing w:val="9"/>
          <w:w w:val="105"/>
          <w:sz w:val="20"/>
          <w:vertAlign w:val="baseline"/>
        </w:rPr>
        <w:t>FX</w:t>
      </w:r>
      <w:r>
        <w:rPr>
          <w:rFonts w:ascii="Bookman Old Style" w:hAnsi="Bookman Old Style"/>
          <w:b w:val="0"/>
          <w:i/>
          <w:spacing w:val="-1"/>
          <w:w w:val="105"/>
          <w:sz w:val="20"/>
          <w:vertAlign w:val="baseline"/>
        </w:rPr>
        <w:t> </w:t>
      </w:r>
      <w:r>
        <w:rPr>
          <w:rFonts w:ascii="Bookman Old Style" w:hAnsi="Bookman Old Style"/>
          <w:b w:val="0"/>
          <w:i/>
          <w:w w:val="105"/>
          <w:sz w:val="20"/>
          <w:vertAlign w:val="baseline"/>
        </w:rPr>
        <w:t>Reserves</w:t>
      </w:r>
      <w:r>
        <w:rPr>
          <w:rFonts w:ascii="Trebuchet MS" w:hAnsi="Trebuchet MS"/>
          <w:i/>
          <w:w w:val="105"/>
          <w:sz w:val="20"/>
          <w:vertAlign w:val="subscript"/>
        </w:rPr>
        <w:t>it</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B</w:t>
      </w:r>
      <w:r>
        <w:rPr>
          <w:rFonts w:ascii="Century Gothic" w:hAnsi="Century Gothic"/>
          <w:w w:val="105"/>
          <w:sz w:val="20"/>
          <w:vertAlign w:val="subscript"/>
        </w:rPr>
        <w:t>6</w:t>
      </w:r>
      <w:r>
        <w:rPr>
          <w:rFonts w:ascii="Bookman Old Style" w:hAnsi="Bookman Old Style"/>
          <w:b w:val="0"/>
          <w:i/>
          <w:w w:val="105"/>
          <w:sz w:val="20"/>
          <w:vertAlign w:val="baseline"/>
        </w:rPr>
        <w:t>Gov</w:t>
      </w:r>
      <w:r>
        <w:rPr>
          <w:rFonts w:ascii="Bookman Old Style" w:hAnsi="Bookman Old Style"/>
          <w:b w:val="0"/>
          <w:i/>
          <w:spacing w:val="-12"/>
          <w:w w:val="105"/>
          <w:sz w:val="20"/>
          <w:vertAlign w:val="baseline"/>
        </w:rPr>
        <w:t> </w:t>
      </w:r>
      <w:r>
        <w:rPr>
          <w:rFonts w:ascii="Bookman Old Style" w:hAnsi="Bookman Old Style"/>
          <w:b w:val="0"/>
          <w:i/>
          <w:w w:val="105"/>
          <w:sz w:val="20"/>
          <w:vertAlign w:val="baseline"/>
        </w:rPr>
        <w:t>Debt</w:t>
      </w:r>
      <w:r>
        <w:rPr>
          <w:rFonts w:ascii="Trebuchet MS" w:hAnsi="Trebuchet MS"/>
          <w:i/>
          <w:w w:val="105"/>
          <w:sz w:val="20"/>
          <w:vertAlign w:val="subscript"/>
        </w:rPr>
        <w:t>it</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C</w:t>
      </w:r>
      <w:r>
        <w:rPr>
          <w:rFonts w:ascii="Trebuchet MS" w:hAnsi="Trebuchet MS"/>
          <w:i/>
          <w:w w:val="105"/>
          <w:sz w:val="20"/>
          <w:vertAlign w:val="subscript"/>
        </w:rPr>
        <w:t>i</w:t>
      </w:r>
      <w:r>
        <w:rPr>
          <w:rFonts w:ascii="Trebuchet MS" w:hAnsi="Trebuchet MS"/>
          <w:i/>
          <w:w w:val="105"/>
          <w:sz w:val="20"/>
          <w:vertAlign w:val="baseline"/>
        </w:rPr>
        <w:t> </w:t>
      </w:r>
      <w:r>
        <w:rPr>
          <w:w w:val="105"/>
          <w:sz w:val="20"/>
          <w:vertAlign w:val="baseline"/>
        </w:rPr>
        <w:t>+ </w:t>
      </w:r>
      <w:r>
        <w:rPr>
          <w:rFonts w:ascii="Bookman Old Style" w:hAnsi="Bookman Old Style"/>
          <w:b w:val="0"/>
          <w:i/>
          <w:w w:val="105"/>
          <w:sz w:val="20"/>
          <w:vertAlign w:val="baseline"/>
        </w:rPr>
        <w:t>e</w:t>
      </w:r>
    </w:p>
    <w:p>
      <w:pPr>
        <w:pStyle w:val="BodyText"/>
        <w:spacing w:before="10"/>
        <w:rPr>
          <w:rFonts w:ascii="Bookman Old Style"/>
          <w:b w:val="0"/>
          <w:i/>
          <w:sz w:val="15"/>
        </w:rPr>
      </w:pPr>
    </w:p>
    <w:p>
      <w:pPr>
        <w:spacing w:line="391" w:lineRule="auto" w:before="0"/>
        <w:ind w:left="436" w:right="1789" w:firstLine="0"/>
        <w:jc w:val="left"/>
        <w:rPr>
          <w:sz w:val="20"/>
        </w:rPr>
      </w:pPr>
      <w:r>
        <w:rPr>
          <w:rFonts w:ascii="Bookman Old Style" w:hAnsi="Bookman Old Style"/>
          <w:b w:val="0"/>
          <w:i/>
          <w:sz w:val="20"/>
        </w:rPr>
        <w:t>Military</w:t>
      </w:r>
      <w:r>
        <w:rPr>
          <w:rFonts w:ascii="Bookman Old Style" w:hAnsi="Bookman Old Style"/>
          <w:b w:val="0"/>
          <w:i/>
          <w:spacing w:val="40"/>
          <w:sz w:val="20"/>
        </w:rPr>
        <w:t> </w:t>
      </w:r>
      <w:r>
        <w:rPr>
          <w:rFonts w:ascii="Bookman Old Style" w:hAnsi="Bookman Old Style"/>
          <w:b w:val="0"/>
          <w:i/>
          <w:sz w:val="20"/>
        </w:rPr>
        <w:t>Expenditures</w:t>
      </w:r>
      <w:r>
        <w:rPr>
          <w:rFonts w:ascii="Trebuchet MS" w:hAnsi="Trebuchet MS"/>
          <w:i/>
          <w:sz w:val="20"/>
          <w:vertAlign w:val="subscript"/>
        </w:rPr>
        <w:t>it</w:t>
      </w:r>
      <w:r>
        <w:rPr>
          <w:rFonts w:ascii="Trebuchet MS" w:hAnsi="Trebuchet MS"/>
          <w:i/>
          <w:spacing w:val="38"/>
          <w:sz w:val="20"/>
          <w:vertAlign w:val="baseline"/>
        </w:rPr>
        <w:t> </w:t>
      </w:r>
      <w:r>
        <w:rPr>
          <w:sz w:val="20"/>
          <w:vertAlign w:val="baseline"/>
        </w:rPr>
        <w:t>=</w:t>
      </w:r>
      <w:r>
        <w:rPr>
          <w:spacing w:val="35"/>
          <w:sz w:val="20"/>
          <w:vertAlign w:val="baseline"/>
        </w:rPr>
        <w:t> </w:t>
      </w:r>
      <w:r>
        <w:rPr>
          <w:rFonts w:ascii="Bookman Old Style" w:hAnsi="Bookman Old Style"/>
          <w:b w:val="0"/>
          <w:i/>
          <w:sz w:val="20"/>
          <w:vertAlign w:val="baseline"/>
        </w:rPr>
        <w:t>B</w:t>
      </w:r>
      <w:r>
        <w:rPr>
          <w:rFonts w:ascii="Century Gothic" w:hAnsi="Century Gothic"/>
          <w:sz w:val="20"/>
          <w:vertAlign w:val="subscript"/>
        </w:rPr>
        <w:t>0</w:t>
      </w:r>
      <w:r>
        <w:rPr>
          <w:rFonts w:ascii="Century Gothic" w:hAnsi="Century Gothic"/>
          <w:sz w:val="20"/>
          <w:vertAlign w:val="baseline"/>
        </w:rPr>
        <w:t> </w:t>
      </w:r>
      <w:r>
        <w:rPr>
          <w:sz w:val="20"/>
          <w:vertAlign w:val="baseline"/>
        </w:rPr>
        <w:t>+ </w:t>
      </w:r>
      <w:r>
        <w:rPr>
          <w:rFonts w:ascii="Bookman Old Style" w:hAnsi="Bookman Old Style"/>
          <w:b w:val="0"/>
          <w:i/>
          <w:spacing w:val="12"/>
          <w:sz w:val="20"/>
          <w:vertAlign w:val="baseline"/>
        </w:rPr>
        <w:t>B</w:t>
      </w:r>
      <w:r>
        <w:rPr>
          <w:rFonts w:ascii="Century Gothic" w:hAnsi="Century Gothic"/>
          <w:spacing w:val="12"/>
          <w:sz w:val="20"/>
          <w:vertAlign w:val="subscript"/>
        </w:rPr>
        <w:t>1</w:t>
      </w:r>
      <w:r>
        <w:rPr>
          <w:rFonts w:ascii="Bookman Old Style" w:hAnsi="Bookman Old Style"/>
          <w:b w:val="0"/>
          <w:i/>
          <w:spacing w:val="12"/>
          <w:sz w:val="20"/>
          <w:vertAlign w:val="baseline"/>
        </w:rPr>
        <w:t>WTI </w:t>
      </w:r>
      <w:r>
        <w:rPr>
          <w:rFonts w:ascii="Bookman Old Style" w:hAnsi="Bookman Old Style"/>
          <w:b w:val="0"/>
          <w:i/>
          <w:sz w:val="20"/>
          <w:vertAlign w:val="baseline"/>
        </w:rPr>
        <w:t>Price</w:t>
      </w:r>
      <w:r>
        <w:rPr>
          <w:rFonts w:ascii="Trebuchet MS" w:hAnsi="Trebuchet MS"/>
          <w:i/>
          <w:sz w:val="20"/>
          <w:vertAlign w:val="subscript"/>
        </w:rPr>
        <w:t>i</w:t>
      </w:r>
      <w:r>
        <w:rPr>
          <w:rFonts w:ascii="Century Gothic" w:hAnsi="Century Gothic"/>
          <w:sz w:val="20"/>
          <w:vertAlign w:val="subscript"/>
        </w:rPr>
        <w:t>(</w:t>
      </w:r>
      <w:r>
        <w:rPr>
          <w:rFonts w:ascii="Trebuchet MS" w:hAnsi="Trebuchet MS"/>
          <w:i/>
          <w:sz w:val="20"/>
          <w:vertAlign w:val="subscript"/>
        </w:rPr>
        <w:t>t</w:t>
      </w:r>
      <w:r>
        <w:rPr>
          <w:rFonts w:ascii="Century Gothic" w:hAnsi="Century Gothic"/>
          <w:sz w:val="20"/>
          <w:vertAlign w:val="subscript"/>
        </w:rPr>
        <w:t>)</w:t>
      </w:r>
      <w:r>
        <w:rPr>
          <w:rFonts w:ascii="Century Gothic" w:hAnsi="Century Gothic"/>
          <w:sz w:val="20"/>
          <w:vertAlign w:val="baseline"/>
        </w:rPr>
        <w:t> </w:t>
      </w:r>
      <w:r>
        <w:rPr>
          <w:sz w:val="20"/>
          <w:vertAlign w:val="baseline"/>
        </w:rPr>
        <w:t>+ </w:t>
      </w:r>
      <w:r>
        <w:rPr>
          <w:rFonts w:ascii="Bookman Old Style" w:hAnsi="Bookman Old Style"/>
          <w:b w:val="0"/>
          <w:i/>
          <w:sz w:val="20"/>
          <w:vertAlign w:val="baseline"/>
        </w:rPr>
        <w:t>B</w:t>
      </w:r>
      <w:r>
        <w:rPr>
          <w:rFonts w:ascii="Century Gothic" w:hAnsi="Century Gothic"/>
          <w:sz w:val="20"/>
          <w:vertAlign w:val="subscript"/>
        </w:rPr>
        <w:t>2</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GDP</w:t>
      </w:r>
      <w:r>
        <w:rPr>
          <w:rFonts w:ascii="Bookman Old Style" w:hAnsi="Bookman Old Style"/>
          <w:b w:val="0"/>
          <w:i/>
          <w:spacing w:val="-20"/>
          <w:sz w:val="20"/>
          <w:vertAlign w:val="baseline"/>
        </w:rPr>
        <w:t> </w:t>
      </w:r>
      <w:r>
        <w:rPr>
          <w:sz w:val="20"/>
          <w:vertAlign w:val="baseline"/>
        </w:rPr>
        <w:t>)</w:t>
      </w:r>
      <w:r>
        <w:rPr>
          <w:rFonts w:ascii="Trebuchet MS" w:hAnsi="Trebuchet MS"/>
          <w:i/>
          <w:sz w:val="20"/>
          <w:vertAlign w:val="subscript"/>
        </w:rPr>
        <w:t>it</w:t>
      </w:r>
      <w:r>
        <w:rPr>
          <w:rFonts w:ascii="Trebuchet MS" w:hAnsi="Trebuchet MS"/>
          <w:i/>
          <w:sz w:val="20"/>
          <w:vertAlign w:val="baseline"/>
        </w:rPr>
        <w:t> </w:t>
      </w:r>
      <w:r>
        <w:rPr>
          <w:sz w:val="20"/>
          <w:vertAlign w:val="baseline"/>
        </w:rPr>
        <w:t>+ </w:t>
      </w:r>
      <w:r>
        <w:rPr>
          <w:rFonts w:ascii="Bookman Old Style" w:hAnsi="Bookman Old Style"/>
          <w:b w:val="0"/>
          <w:i/>
          <w:spacing w:val="9"/>
          <w:sz w:val="20"/>
          <w:vertAlign w:val="baseline"/>
        </w:rPr>
        <w:t>B</w:t>
      </w:r>
      <w:r>
        <w:rPr>
          <w:rFonts w:ascii="Century Gothic" w:hAnsi="Century Gothic"/>
          <w:spacing w:val="9"/>
          <w:sz w:val="20"/>
          <w:vertAlign w:val="subscript"/>
        </w:rPr>
        <w:t>3</w:t>
      </w:r>
      <w:r>
        <w:rPr>
          <w:rFonts w:ascii="Bookman Old Style" w:hAnsi="Bookman Old Style"/>
          <w:b w:val="0"/>
          <w:i/>
          <w:spacing w:val="9"/>
          <w:sz w:val="20"/>
          <w:vertAlign w:val="baseline"/>
        </w:rPr>
        <w:t>FX </w:t>
      </w:r>
      <w:r>
        <w:rPr>
          <w:rFonts w:ascii="Bookman Old Style" w:hAnsi="Bookman Old Style"/>
          <w:b w:val="0"/>
          <w:i/>
          <w:sz w:val="20"/>
          <w:vertAlign w:val="baseline"/>
        </w:rPr>
        <w:t>Reserves</w:t>
      </w:r>
      <w:r>
        <w:rPr>
          <w:rFonts w:ascii="Trebuchet MS" w:hAnsi="Trebuchet MS"/>
          <w:i/>
          <w:sz w:val="20"/>
          <w:vertAlign w:val="subscript"/>
        </w:rPr>
        <w:t>it</w:t>
      </w:r>
      <w:r>
        <w:rPr>
          <w:rFonts w:ascii="Trebuchet MS" w:hAnsi="Trebuchet MS"/>
          <w:i/>
          <w:sz w:val="20"/>
          <w:vertAlign w:val="baseline"/>
        </w:rPr>
        <w:t> </w:t>
      </w:r>
      <w:r>
        <w:rPr>
          <w:sz w:val="20"/>
          <w:vertAlign w:val="baseline"/>
        </w:rPr>
        <w:t>+ </w:t>
      </w:r>
      <w:r>
        <w:rPr>
          <w:rFonts w:ascii="Bookman Old Style" w:hAnsi="Bookman Old Style"/>
          <w:b w:val="0"/>
          <w:i/>
          <w:sz w:val="20"/>
          <w:vertAlign w:val="baseline"/>
        </w:rPr>
        <w:t>C</w:t>
      </w:r>
      <w:r>
        <w:rPr>
          <w:rFonts w:ascii="Trebuchet MS" w:hAnsi="Trebuchet MS"/>
          <w:i/>
          <w:sz w:val="20"/>
          <w:vertAlign w:val="subscript"/>
        </w:rPr>
        <w:t>i</w:t>
      </w:r>
      <w:r>
        <w:rPr>
          <w:rFonts w:ascii="Trebuchet MS" w:hAnsi="Trebuchet MS"/>
          <w:i/>
          <w:sz w:val="20"/>
          <w:vertAlign w:val="baseline"/>
        </w:rPr>
        <w:t> </w:t>
      </w:r>
      <w:r>
        <w:rPr>
          <w:sz w:val="20"/>
          <w:vertAlign w:val="baseline"/>
        </w:rPr>
        <w:t>+ </w:t>
      </w:r>
      <w:r>
        <w:rPr>
          <w:rFonts w:ascii="Bookman Old Style" w:hAnsi="Bookman Old Style"/>
          <w:b w:val="0"/>
          <w:i/>
          <w:sz w:val="20"/>
          <w:vertAlign w:val="baseline"/>
        </w:rPr>
        <w:t>e</w:t>
      </w:r>
      <w:r>
        <w:rPr>
          <w:rFonts w:ascii="Bookman Old Style" w:hAnsi="Bookman Old Style"/>
          <w:b w:val="0"/>
          <w:i/>
          <w:sz w:val="20"/>
          <w:vertAlign w:val="baseline"/>
        </w:rPr>
        <w:t> Military</w:t>
      </w:r>
      <w:r>
        <w:rPr>
          <w:rFonts w:ascii="Bookman Old Style" w:hAnsi="Bookman Old Style"/>
          <w:b w:val="0"/>
          <w:i/>
          <w:spacing w:val="40"/>
          <w:sz w:val="20"/>
          <w:vertAlign w:val="baseline"/>
        </w:rPr>
        <w:t> </w:t>
      </w:r>
      <w:r>
        <w:rPr>
          <w:rFonts w:ascii="Bookman Old Style" w:hAnsi="Bookman Old Style"/>
          <w:b w:val="0"/>
          <w:i/>
          <w:sz w:val="20"/>
          <w:vertAlign w:val="baseline"/>
        </w:rPr>
        <w:t>Expenditures</w:t>
      </w:r>
      <w:r>
        <w:rPr>
          <w:rFonts w:ascii="Trebuchet MS" w:hAnsi="Trebuchet MS"/>
          <w:i/>
          <w:sz w:val="20"/>
          <w:vertAlign w:val="subscript"/>
        </w:rPr>
        <w:t>it</w:t>
      </w:r>
      <w:r>
        <w:rPr>
          <w:rFonts w:ascii="Trebuchet MS" w:hAnsi="Trebuchet MS"/>
          <w:i/>
          <w:spacing w:val="34"/>
          <w:sz w:val="20"/>
          <w:vertAlign w:val="baseline"/>
        </w:rPr>
        <w:t> </w:t>
      </w:r>
      <w:r>
        <w:rPr>
          <w:sz w:val="20"/>
          <w:vertAlign w:val="baseline"/>
        </w:rPr>
        <w:t>=</w:t>
      </w:r>
      <w:r>
        <w:rPr>
          <w:spacing w:val="31"/>
          <w:sz w:val="20"/>
          <w:vertAlign w:val="baseline"/>
        </w:rPr>
        <w:t> </w:t>
      </w:r>
      <w:r>
        <w:rPr>
          <w:rFonts w:ascii="Bookman Old Style" w:hAnsi="Bookman Old Style"/>
          <w:b w:val="0"/>
          <w:i/>
          <w:sz w:val="20"/>
          <w:vertAlign w:val="baseline"/>
        </w:rPr>
        <w:t>B</w:t>
      </w:r>
      <w:r>
        <w:rPr>
          <w:rFonts w:ascii="Century Gothic" w:hAnsi="Century Gothic"/>
          <w:sz w:val="20"/>
          <w:vertAlign w:val="subscript"/>
        </w:rPr>
        <w:t>0</w:t>
      </w:r>
      <w:r>
        <w:rPr>
          <w:rFonts w:ascii="Century Gothic" w:hAnsi="Century Gothic"/>
          <w:spacing w:val="21"/>
          <w:sz w:val="20"/>
          <w:vertAlign w:val="baseline"/>
        </w:rPr>
        <w:t> </w:t>
      </w:r>
      <w:r>
        <w:rPr>
          <w:sz w:val="20"/>
          <w:vertAlign w:val="baseline"/>
        </w:rPr>
        <w:t>+</w:t>
      </w:r>
      <w:r>
        <w:rPr>
          <w:spacing w:val="12"/>
          <w:sz w:val="20"/>
          <w:vertAlign w:val="baseline"/>
        </w:rPr>
        <w:t> </w:t>
      </w:r>
      <w:r>
        <w:rPr>
          <w:rFonts w:ascii="Bookman Old Style" w:hAnsi="Bookman Old Style"/>
          <w:b w:val="0"/>
          <w:i/>
          <w:spacing w:val="12"/>
          <w:sz w:val="20"/>
          <w:vertAlign w:val="baseline"/>
        </w:rPr>
        <w:t>B</w:t>
      </w:r>
      <w:r>
        <w:rPr>
          <w:rFonts w:ascii="Century Gothic" w:hAnsi="Century Gothic"/>
          <w:spacing w:val="12"/>
          <w:sz w:val="20"/>
          <w:vertAlign w:val="subscript"/>
        </w:rPr>
        <w:t>1</w:t>
      </w:r>
      <w:r>
        <w:rPr>
          <w:rFonts w:ascii="Bookman Old Style" w:hAnsi="Bookman Old Style"/>
          <w:b w:val="0"/>
          <w:i/>
          <w:spacing w:val="12"/>
          <w:sz w:val="20"/>
          <w:vertAlign w:val="baseline"/>
        </w:rPr>
        <w:t>WTI</w:t>
      </w:r>
      <w:r>
        <w:rPr>
          <w:rFonts w:ascii="Bookman Old Style" w:hAnsi="Bookman Old Style"/>
          <w:b w:val="0"/>
          <w:i/>
          <w:spacing w:val="9"/>
          <w:sz w:val="20"/>
          <w:vertAlign w:val="baseline"/>
        </w:rPr>
        <w:t> </w:t>
      </w:r>
      <w:r>
        <w:rPr>
          <w:rFonts w:ascii="Bookman Old Style" w:hAnsi="Bookman Old Style"/>
          <w:b w:val="0"/>
          <w:i/>
          <w:sz w:val="20"/>
          <w:vertAlign w:val="baseline"/>
        </w:rPr>
        <w:t>Price</w:t>
      </w:r>
      <w:r>
        <w:rPr>
          <w:rFonts w:ascii="Trebuchet MS" w:hAnsi="Trebuchet MS"/>
          <w:i/>
          <w:sz w:val="20"/>
          <w:vertAlign w:val="subscript"/>
        </w:rPr>
        <w:t>i</w:t>
      </w:r>
      <w:r>
        <w:rPr>
          <w:rFonts w:ascii="Century Gothic" w:hAnsi="Century Gothic"/>
          <w:sz w:val="20"/>
          <w:vertAlign w:val="subscript"/>
        </w:rPr>
        <w:t>(</w:t>
      </w:r>
      <w:r>
        <w:rPr>
          <w:rFonts w:ascii="Trebuchet MS" w:hAnsi="Trebuchet MS"/>
          <w:i/>
          <w:sz w:val="20"/>
          <w:vertAlign w:val="subscript"/>
        </w:rPr>
        <w:t>t</w:t>
      </w:r>
      <w:r>
        <w:rPr>
          <w:rFonts w:ascii="Lucida Sans Unicode" w:hAnsi="Lucida Sans Unicode"/>
          <w:sz w:val="20"/>
          <w:vertAlign w:val="subscript"/>
        </w:rPr>
        <w:t>−</w:t>
      </w:r>
      <w:r>
        <w:rPr>
          <w:rFonts w:ascii="Century Gothic" w:hAnsi="Century Gothic"/>
          <w:sz w:val="20"/>
          <w:vertAlign w:val="subscript"/>
        </w:rPr>
        <w:t>1)</w:t>
      </w:r>
      <w:r>
        <w:rPr>
          <w:rFonts w:ascii="Century Gothic" w:hAnsi="Century Gothic"/>
          <w:spacing w:val="21"/>
          <w:sz w:val="20"/>
          <w:vertAlign w:val="baseline"/>
        </w:rPr>
        <w:t> </w:t>
      </w:r>
      <w:r>
        <w:rPr>
          <w:sz w:val="20"/>
          <w:vertAlign w:val="baseline"/>
        </w:rPr>
        <w:t>+</w:t>
      </w:r>
      <w:r>
        <w:rPr>
          <w:spacing w:val="15"/>
          <w:sz w:val="20"/>
          <w:vertAlign w:val="baseline"/>
        </w:rPr>
        <w:t> </w:t>
      </w:r>
      <w:r>
        <w:rPr>
          <w:rFonts w:ascii="Bookman Old Style" w:hAnsi="Bookman Old Style"/>
          <w:b w:val="0"/>
          <w:i/>
          <w:sz w:val="20"/>
          <w:vertAlign w:val="baseline"/>
        </w:rPr>
        <w:t>B</w:t>
      </w:r>
      <w:r>
        <w:rPr>
          <w:rFonts w:ascii="Century Gothic" w:hAnsi="Century Gothic"/>
          <w:sz w:val="20"/>
          <w:vertAlign w:val="subscript"/>
        </w:rPr>
        <w:t>2</w:t>
      </w:r>
      <w:r>
        <w:rPr>
          <w:rFonts w:ascii="Bookman Old Style" w:hAnsi="Bookman Old Style"/>
          <w:b w:val="0"/>
          <w:i/>
          <w:sz w:val="20"/>
          <w:vertAlign w:val="baseline"/>
        </w:rPr>
        <w:t>log</w:t>
      </w:r>
      <w:r>
        <w:rPr>
          <w:sz w:val="20"/>
          <w:vertAlign w:val="baseline"/>
        </w:rPr>
        <w:t>(</w:t>
      </w:r>
      <w:r>
        <w:rPr>
          <w:rFonts w:ascii="Bookman Old Style" w:hAnsi="Bookman Old Style"/>
          <w:b w:val="0"/>
          <w:i/>
          <w:sz w:val="20"/>
          <w:vertAlign w:val="baseline"/>
        </w:rPr>
        <w:t>GDP</w:t>
      </w:r>
      <w:r>
        <w:rPr>
          <w:rFonts w:ascii="Bookman Old Style" w:hAnsi="Bookman Old Style"/>
          <w:b w:val="0"/>
          <w:i/>
          <w:spacing w:val="-22"/>
          <w:sz w:val="20"/>
          <w:vertAlign w:val="baseline"/>
        </w:rPr>
        <w:t> </w:t>
      </w:r>
      <w:r>
        <w:rPr>
          <w:sz w:val="20"/>
          <w:vertAlign w:val="baseline"/>
        </w:rPr>
        <w:t>)</w:t>
      </w:r>
      <w:r>
        <w:rPr>
          <w:rFonts w:ascii="Trebuchet MS" w:hAnsi="Trebuchet MS"/>
          <w:i/>
          <w:sz w:val="20"/>
          <w:vertAlign w:val="subscript"/>
        </w:rPr>
        <w:t>it</w:t>
      </w:r>
      <w:r>
        <w:rPr>
          <w:rFonts w:ascii="Trebuchet MS" w:hAnsi="Trebuchet MS"/>
          <w:i/>
          <w:spacing w:val="18"/>
          <w:sz w:val="20"/>
          <w:vertAlign w:val="baseline"/>
        </w:rPr>
        <w:t> </w:t>
      </w:r>
      <w:r>
        <w:rPr>
          <w:sz w:val="20"/>
          <w:vertAlign w:val="baseline"/>
        </w:rPr>
        <w:t>+</w:t>
      </w:r>
      <w:r>
        <w:rPr>
          <w:spacing w:val="9"/>
          <w:sz w:val="20"/>
          <w:vertAlign w:val="baseline"/>
        </w:rPr>
        <w:t> </w:t>
      </w:r>
      <w:r>
        <w:rPr>
          <w:rFonts w:ascii="Bookman Old Style" w:hAnsi="Bookman Old Style"/>
          <w:b w:val="0"/>
          <w:i/>
          <w:spacing w:val="9"/>
          <w:sz w:val="20"/>
          <w:vertAlign w:val="baseline"/>
        </w:rPr>
        <w:t>B</w:t>
      </w:r>
      <w:r>
        <w:rPr>
          <w:rFonts w:ascii="Century Gothic" w:hAnsi="Century Gothic"/>
          <w:spacing w:val="9"/>
          <w:sz w:val="20"/>
          <w:vertAlign w:val="subscript"/>
        </w:rPr>
        <w:t>3</w:t>
      </w:r>
      <w:r>
        <w:rPr>
          <w:rFonts w:ascii="Bookman Old Style" w:hAnsi="Bookman Old Style"/>
          <w:b w:val="0"/>
          <w:i/>
          <w:spacing w:val="9"/>
          <w:sz w:val="20"/>
          <w:vertAlign w:val="baseline"/>
        </w:rPr>
        <w:t>FX </w:t>
      </w:r>
      <w:r>
        <w:rPr>
          <w:rFonts w:ascii="Bookman Old Style" w:hAnsi="Bookman Old Style"/>
          <w:b w:val="0"/>
          <w:i/>
          <w:sz w:val="20"/>
          <w:vertAlign w:val="baseline"/>
        </w:rPr>
        <w:t>Reserves</w:t>
      </w:r>
      <w:r>
        <w:rPr>
          <w:rFonts w:ascii="Trebuchet MS" w:hAnsi="Trebuchet MS"/>
          <w:i/>
          <w:sz w:val="20"/>
          <w:vertAlign w:val="subscript"/>
        </w:rPr>
        <w:t>it</w:t>
      </w:r>
      <w:r>
        <w:rPr>
          <w:rFonts w:ascii="Trebuchet MS" w:hAnsi="Trebuchet MS"/>
          <w:i/>
          <w:spacing w:val="18"/>
          <w:sz w:val="20"/>
          <w:vertAlign w:val="baseline"/>
        </w:rPr>
        <w:t> </w:t>
      </w:r>
      <w:r>
        <w:rPr>
          <w:sz w:val="20"/>
          <w:vertAlign w:val="baseline"/>
        </w:rPr>
        <w:t>+</w:t>
      </w:r>
      <w:r>
        <w:rPr>
          <w:spacing w:val="15"/>
          <w:sz w:val="20"/>
          <w:vertAlign w:val="baseline"/>
        </w:rPr>
        <w:t> </w:t>
      </w:r>
      <w:r>
        <w:rPr>
          <w:rFonts w:ascii="Bookman Old Style" w:hAnsi="Bookman Old Style"/>
          <w:b w:val="0"/>
          <w:i/>
          <w:sz w:val="20"/>
          <w:vertAlign w:val="baseline"/>
        </w:rPr>
        <w:t>C</w:t>
      </w:r>
      <w:r>
        <w:rPr>
          <w:rFonts w:ascii="Trebuchet MS" w:hAnsi="Trebuchet MS"/>
          <w:i/>
          <w:sz w:val="20"/>
          <w:vertAlign w:val="subscript"/>
        </w:rPr>
        <w:t>i</w:t>
      </w:r>
      <w:r>
        <w:rPr>
          <w:rFonts w:ascii="Trebuchet MS" w:hAnsi="Trebuchet MS"/>
          <w:i/>
          <w:spacing w:val="18"/>
          <w:sz w:val="20"/>
          <w:vertAlign w:val="baseline"/>
        </w:rPr>
        <w:t> </w:t>
      </w:r>
      <w:r>
        <w:rPr>
          <w:sz w:val="20"/>
          <w:vertAlign w:val="baseline"/>
        </w:rPr>
        <w:t>+</w:t>
      </w:r>
      <w:r>
        <w:rPr>
          <w:spacing w:val="15"/>
          <w:sz w:val="20"/>
          <w:vertAlign w:val="baseline"/>
        </w:rPr>
        <w:t> </w:t>
      </w:r>
      <w:r>
        <w:rPr>
          <w:rFonts w:ascii="Bookman Old Style" w:hAnsi="Bookman Old Style"/>
          <w:b w:val="0"/>
          <w:i/>
          <w:sz w:val="20"/>
          <w:vertAlign w:val="baseline"/>
        </w:rPr>
        <w:t>e</w:t>
      </w:r>
      <w:r>
        <w:rPr>
          <w:rFonts w:ascii="Bookman Old Style" w:hAnsi="Bookman Old Style"/>
          <w:b w:val="0"/>
          <w:i/>
          <w:sz w:val="20"/>
          <w:vertAlign w:val="baseline"/>
        </w:rPr>
        <w:t> </w:t>
      </w:r>
      <w:r>
        <w:rPr>
          <w:spacing w:val="-2"/>
          <w:sz w:val="20"/>
          <w:vertAlign w:val="baseline"/>
        </w:rPr>
        <w:t>In</w:t>
      </w:r>
      <w:r>
        <w:rPr>
          <w:spacing w:val="5"/>
          <w:sz w:val="20"/>
          <w:vertAlign w:val="baseline"/>
        </w:rPr>
        <w:t> </w:t>
      </w:r>
      <w:r>
        <w:rPr>
          <w:spacing w:val="-2"/>
          <w:sz w:val="20"/>
          <w:vertAlign w:val="baseline"/>
        </w:rPr>
        <w:t>order</w:t>
      </w:r>
      <w:r>
        <w:rPr>
          <w:spacing w:val="5"/>
          <w:sz w:val="20"/>
          <w:vertAlign w:val="baseline"/>
        </w:rPr>
        <w:t> </w:t>
      </w:r>
      <w:r>
        <w:rPr>
          <w:spacing w:val="-2"/>
          <w:sz w:val="20"/>
          <w:vertAlign w:val="baseline"/>
        </w:rPr>
        <w:t>to</w:t>
      </w:r>
      <w:r>
        <w:rPr>
          <w:spacing w:val="6"/>
          <w:sz w:val="20"/>
          <w:vertAlign w:val="baseline"/>
        </w:rPr>
        <w:t> </w:t>
      </w:r>
      <w:r>
        <w:rPr>
          <w:spacing w:val="-2"/>
          <w:sz w:val="20"/>
          <w:vertAlign w:val="baseline"/>
        </w:rPr>
        <w:t>test</w:t>
      </w:r>
      <w:r>
        <w:rPr>
          <w:spacing w:val="6"/>
          <w:sz w:val="20"/>
          <w:vertAlign w:val="baseline"/>
        </w:rPr>
        <w:t> </w:t>
      </w:r>
      <w:r>
        <w:rPr>
          <w:spacing w:val="-2"/>
          <w:sz w:val="20"/>
          <w:vertAlign w:val="baseline"/>
        </w:rPr>
        <w:t>the</w:t>
      </w:r>
      <w:r>
        <w:rPr>
          <w:spacing w:val="6"/>
          <w:sz w:val="20"/>
          <w:vertAlign w:val="baseline"/>
        </w:rPr>
        <w:t> </w:t>
      </w:r>
      <w:r>
        <w:rPr>
          <w:spacing w:val="-2"/>
          <w:sz w:val="20"/>
          <w:vertAlign w:val="baseline"/>
        </w:rPr>
        <w:t>robustness</w:t>
      </w:r>
      <w:r>
        <w:rPr>
          <w:spacing w:val="5"/>
          <w:sz w:val="20"/>
          <w:vertAlign w:val="baseline"/>
        </w:rPr>
        <w:t> </w:t>
      </w:r>
      <w:r>
        <w:rPr>
          <w:spacing w:val="-2"/>
          <w:sz w:val="20"/>
          <w:vertAlign w:val="baseline"/>
        </w:rPr>
        <w:t>of</w:t>
      </w:r>
      <w:r>
        <w:rPr>
          <w:spacing w:val="6"/>
          <w:sz w:val="20"/>
          <w:vertAlign w:val="baseline"/>
        </w:rPr>
        <w:t> </w:t>
      </w:r>
      <w:r>
        <w:rPr>
          <w:spacing w:val="-2"/>
          <w:sz w:val="20"/>
          <w:vertAlign w:val="baseline"/>
        </w:rPr>
        <w:t>these</w:t>
      </w:r>
      <w:r>
        <w:rPr>
          <w:spacing w:val="6"/>
          <w:sz w:val="20"/>
          <w:vertAlign w:val="baseline"/>
        </w:rPr>
        <w:t> </w:t>
      </w:r>
      <w:r>
        <w:rPr>
          <w:spacing w:val="-2"/>
          <w:sz w:val="20"/>
          <w:vertAlign w:val="baseline"/>
        </w:rPr>
        <w:t>models,</w:t>
      </w:r>
      <w:r>
        <w:rPr>
          <w:spacing w:val="6"/>
          <w:sz w:val="20"/>
          <w:vertAlign w:val="baseline"/>
        </w:rPr>
        <w:t> </w:t>
      </w:r>
      <w:r>
        <w:rPr>
          <w:spacing w:val="-2"/>
          <w:sz w:val="20"/>
          <w:vertAlign w:val="baseline"/>
        </w:rPr>
        <w:t>we</w:t>
      </w:r>
      <w:r>
        <w:rPr>
          <w:spacing w:val="6"/>
          <w:sz w:val="20"/>
          <w:vertAlign w:val="baseline"/>
        </w:rPr>
        <w:t> </w:t>
      </w:r>
      <w:r>
        <w:rPr>
          <w:spacing w:val="-2"/>
          <w:sz w:val="20"/>
          <w:vertAlign w:val="baseline"/>
        </w:rPr>
        <w:t>employed</w:t>
      </w:r>
      <w:r>
        <w:rPr>
          <w:spacing w:val="6"/>
          <w:sz w:val="20"/>
          <w:vertAlign w:val="baseline"/>
        </w:rPr>
        <w:t> </w:t>
      </w:r>
      <w:r>
        <w:rPr>
          <w:spacing w:val="-2"/>
          <w:sz w:val="20"/>
          <w:vertAlign w:val="baseline"/>
        </w:rPr>
        <w:t>additional</w:t>
      </w:r>
      <w:r>
        <w:rPr>
          <w:spacing w:val="5"/>
          <w:sz w:val="20"/>
          <w:vertAlign w:val="baseline"/>
        </w:rPr>
        <w:t> </w:t>
      </w:r>
      <w:r>
        <w:rPr>
          <w:spacing w:val="-2"/>
          <w:sz w:val="20"/>
          <w:vertAlign w:val="baseline"/>
        </w:rPr>
        <w:t>specifications</w:t>
      </w:r>
      <w:r>
        <w:rPr>
          <w:spacing w:val="6"/>
          <w:sz w:val="20"/>
          <w:vertAlign w:val="baseline"/>
        </w:rPr>
        <w:t> </w:t>
      </w:r>
      <w:r>
        <w:rPr>
          <w:spacing w:val="-2"/>
          <w:sz w:val="20"/>
          <w:vertAlign w:val="baseline"/>
        </w:rPr>
        <w:t>shown</w:t>
      </w:r>
      <w:r>
        <w:rPr>
          <w:spacing w:val="5"/>
          <w:sz w:val="20"/>
          <w:vertAlign w:val="baseline"/>
        </w:rPr>
        <w:t> </w:t>
      </w:r>
      <w:r>
        <w:rPr>
          <w:spacing w:val="-2"/>
          <w:sz w:val="20"/>
          <w:vertAlign w:val="baseline"/>
        </w:rPr>
        <w:t>in</w:t>
      </w:r>
      <w:r>
        <w:rPr>
          <w:spacing w:val="5"/>
          <w:sz w:val="20"/>
          <w:vertAlign w:val="baseline"/>
        </w:rPr>
        <w:t> </w:t>
      </w:r>
      <w:r>
        <w:rPr>
          <w:spacing w:val="-5"/>
          <w:sz w:val="20"/>
          <w:vertAlign w:val="baseline"/>
        </w:rPr>
        <w:t>the</w:t>
      </w:r>
    </w:p>
    <w:p>
      <w:pPr>
        <w:pStyle w:val="BodyText"/>
        <w:spacing w:line="152" w:lineRule="exact"/>
        <w:ind w:left="137"/>
      </w:pPr>
      <w:r>
        <w:rPr/>
        <w:t>table below.</w:t>
      </w:r>
      <w:r>
        <w:rPr>
          <w:spacing w:val="19"/>
        </w:rPr>
        <w:t> </w:t>
      </w:r>
      <w:r>
        <w:rPr/>
        <w:t>The first</w:t>
      </w:r>
      <w:r>
        <w:rPr>
          <w:spacing w:val="1"/>
        </w:rPr>
        <w:t> </w:t>
      </w:r>
      <w:r>
        <w:rPr/>
        <w:t>two models</w:t>
      </w:r>
      <w:r>
        <w:rPr>
          <w:spacing w:val="2"/>
        </w:rPr>
        <w:t> </w:t>
      </w:r>
      <w:r>
        <w:rPr/>
        <w:t>add the</w:t>
      </w:r>
      <w:r>
        <w:rPr>
          <w:spacing w:val="1"/>
        </w:rPr>
        <w:t> </w:t>
      </w:r>
      <w:r>
        <w:rPr/>
        <w:t>use of</w:t>
      </w:r>
      <w:r>
        <w:rPr>
          <w:spacing w:val="1"/>
        </w:rPr>
        <w:t> </w:t>
      </w:r>
      <w:r>
        <w:rPr/>
        <w:t>fixed</w:t>
      </w:r>
      <w:r>
        <w:rPr>
          <w:spacing w:val="1"/>
        </w:rPr>
        <w:t> </w:t>
      </w:r>
      <w:r>
        <w:rPr/>
        <w:t>effects for</w:t>
      </w:r>
      <w:r>
        <w:rPr>
          <w:spacing w:val="1"/>
        </w:rPr>
        <w:t> </w:t>
      </w:r>
      <w:r>
        <w:rPr/>
        <w:t>time.</w:t>
      </w:r>
      <w:r>
        <w:rPr>
          <w:spacing w:val="19"/>
        </w:rPr>
        <w:t> </w:t>
      </w:r>
      <w:r>
        <w:rPr/>
        <w:t>The</w:t>
      </w:r>
      <w:r>
        <w:rPr>
          <w:spacing w:val="1"/>
        </w:rPr>
        <w:t> </w:t>
      </w:r>
      <w:r>
        <w:rPr/>
        <w:t>second two</w:t>
      </w:r>
      <w:r>
        <w:rPr>
          <w:spacing w:val="1"/>
        </w:rPr>
        <w:t> </w:t>
      </w:r>
      <w:r>
        <w:rPr/>
        <w:t>models </w:t>
      </w:r>
      <w:r>
        <w:rPr>
          <w:spacing w:val="-2"/>
        </w:rPr>
        <w:t>include</w:t>
      </w:r>
    </w:p>
    <w:p>
      <w:pPr>
        <w:pStyle w:val="BodyText"/>
        <w:spacing w:before="71"/>
        <w:ind w:left="137"/>
      </w:pPr>
      <w:r>
        <w:rPr>
          <w:spacing w:val="-2"/>
        </w:rPr>
        <w:t>this</w:t>
      </w:r>
      <w:r>
        <w:rPr>
          <w:spacing w:val="3"/>
        </w:rPr>
        <w:t> </w:t>
      </w:r>
      <w:r>
        <w:rPr>
          <w:spacing w:val="-2"/>
        </w:rPr>
        <w:t>and</w:t>
      </w:r>
      <w:r>
        <w:rPr>
          <w:spacing w:val="4"/>
        </w:rPr>
        <w:t> </w:t>
      </w:r>
      <w:r>
        <w:rPr>
          <w:spacing w:val="-2"/>
        </w:rPr>
        <w:t>log</w:t>
      </w:r>
      <w:r>
        <w:rPr>
          <w:spacing w:val="4"/>
        </w:rPr>
        <w:t> </w:t>
      </w:r>
      <w:r>
        <w:rPr>
          <w:spacing w:val="-2"/>
        </w:rPr>
        <w:t>the</w:t>
      </w:r>
      <w:r>
        <w:rPr>
          <w:spacing w:val="4"/>
        </w:rPr>
        <w:t> </w:t>
      </w:r>
      <w:r>
        <w:rPr>
          <w:spacing w:val="-2"/>
        </w:rPr>
        <w:t>dependent</w:t>
      </w:r>
      <w:r>
        <w:rPr>
          <w:spacing w:val="4"/>
        </w:rPr>
        <w:t> </w:t>
      </w:r>
      <w:r>
        <w:rPr>
          <w:spacing w:val="-2"/>
        </w:rPr>
        <w:t>variable.</w:t>
      </w:r>
      <w:r>
        <w:rPr>
          <w:spacing w:val="21"/>
        </w:rPr>
        <w:t> </w:t>
      </w:r>
      <w:r>
        <w:rPr>
          <w:spacing w:val="-2"/>
        </w:rPr>
        <w:t>In</w:t>
      </w:r>
      <w:r>
        <w:rPr>
          <w:spacing w:val="4"/>
        </w:rPr>
        <w:t> </w:t>
      </w:r>
      <w:r>
        <w:rPr>
          <w:spacing w:val="-2"/>
        </w:rPr>
        <w:t>each</w:t>
      </w:r>
      <w:r>
        <w:rPr>
          <w:spacing w:val="4"/>
        </w:rPr>
        <w:t> </w:t>
      </w:r>
      <w:r>
        <w:rPr>
          <w:spacing w:val="-2"/>
        </w:rPr>
        <w:t>specification,</w:t>
      </w:r>
      <w:r>
        <w:rPr>
          <w:spacing w:val="4"/>
        </w:rPr>
        <w:t> </w:t>
      </w:r>
      <w:r>
        <w:rPr>
          <w:spacing w:val="-2"/>
        </w:rPr>
        <w:t>the</w:t>
      </w:r>
      <w:r>
        <w:rPr>
          <w:spacing w:val="4"/>
        </w:rPr>
        <w:t> </w:t>
      </w:r>
      <w:r>
        <w:rPr>
          <w:spacing w:val="-2"/>
        </w:rPr>
        <w:t>results</w:t>
      </w:r>
      <w:r>
        <w:rPr>
          <w:spacing w:val="4"/>
        </w:rPr>
        <w:t> </w:t>
      </w:r>
      <w:r>
        <w:rPr>
          <w:spacing w:val="-2"/>
        </w:rPr>
        <w:t>remained</w:t>
      </w:r>
      <w:r>
        <w:rPr>
          <w:spacing w:val="4"/>
        </w:rPr>
        <w:t> </w:t>
      </w:r>
      <w:r>
        <w:rPr>
          <w:spacing w:val="-2"/>
        </w:rPr>
        <w:t>consistent.</w:t>
      </w:r>
    </w:p>
    <w:p>
      <w:pPr>
        <w:pStyle w:val="BodyText"/>
      </w:pPr>
    </w:p>
    <w:p>
      <w:pPr>
        <w:pStyle w:val="BodyText"/>
        <w:spacing w:before="133"/>
        <w:ind w:left="2871"/>
      </w:pPr>
      <w:r>
        <w:rPr>
          <w:spacing w:val="-2"/>
        </w:rPr>
        <w:t>Robustness</w:t>
      </w:r>
      <w:r>
        <w:rPr>
          <w:spacing w:val="1"/>
        </w:rPr>
        <w:t> </w:t>
      </w:r>
      <w:r>
        <w:rPr>
          <w:spacing w:val="-2"/>
        </w:rPr>
        <w:t>Checks</w:t>
      </w:r>
      <w:r>
        <w:rPr>
          <w:spacing w:val="2"/>
        </w:rPr>
        <w:t> </w:t>
      </w:r>
      <w:r>
        <w:rPr>
          <w:spacing w:val="-2"/>
        </w:rPr>
        <w:t>for</w:t>
      </w:r>
      <w:r>
        <w:rPr>
          <w:spacing w:val="2"/>
        </w:rPr>
        <w:t> </w:t>
      </w:r>
      <w:r>
        <w:rPr>
          <w:spacing w:val="-2"/>
        </w:rPr>
        <w:t>Spending</w:t>
      </w:r>
      <w:r>
        <w:rPr>
          <w:spacing w:val="2"/>
        </w:rPr>
        <w:t> </w:t>
      </w:r>
      <w:r>
        <w:rPr>
          <w:spacing w:val="-2"/>
        </w:rPr>
        <w:t>Models</w:t>
      </w:r>
    </w:p>
    <w:p>
      <w:pPr>
        <w:pStyle w:val="BodyText"/>
        <w:spacing w:before="3"/>
        <w:rPr>
          <w:sz w:val="25"/>
        </w:rPr>
      </w:pPr>
      <w:r>
        <w:rPr/>
        <w:pict>
          <v:group style="position:absolute;margin-left:72.314003pt;margin-top:15.59882pt;width:446.45pt;height:2.4pt;mso-position-horizontal-relative:page;mso-position-vertical-relative:paragraph;z-index:-15713792;mso-wrap-distance-left:0;mso-wrap-distance-right:0" id="docshapegroup30" coordorigin="1446,312" coordsize="8929,48">
            <v:line style="position:absolute" from="1446,316" to="10375,316" stroked="true" strokeweight=".398pt" strokecolor="#000000">
              <v:stroke dashstyle="solid"/>
            </v:line>
            <v:line style="position:absolute" from="1446,356" to="10375,356" stroked="true" strokeweight=".398pt" strokecolor="#000000">
              <v:stroke dashstyle="solid"/>
            </v:line>
            <w10:wrap type="topAndBottom"/>
          </v:group>
        </w:pict>
      </w:r>
    </w:p>
    <w:p>
      <w:pPr>
        <w:spacing w:before="63" w:after="30"/>
        <w:ind w:left="2789" w:right="2065" w:firstLine="0"/>
        <w:jc w:val="center"/>
        <w:rPr>
          <w:rFonts w:ascii="Bookman Old Style"/>
          <w:b w:val="0"/>
          <w:i/>
          <w:sz w:val="20"/>
        </w:rPr>
      </w:pPr>
      <w:r>
        <w:rPr>
          <w:rFonts w:ascii="Bookman Old Style"/>
          <w:b w:val="0"/>
          <w:i/>
          <w:spacing w:val="-2"/>
          <w:w w:val="90"/>
          <w:sz w:val="20"/>
        </w:rPr>
        <w:t>Dependent</w:t>
      </w:r>
      <w:r>
        <w:rPr>
          <w:rFonts w:ascii="Bookman Old Style"/>
          <w:b w:val="0"/>
          <w:i/>
          <w:spacing w:val="1"/>
          <w:sz w:val="20"/>
        </w:rPr>
        <w:t> </w:t>
      </w:r>
      <w:r>
        <w:rPr>
          <w:rFonts w:ascii="Bookman Old Style"/>
          <w:b w:val="0"/>
          <w:i/>
          <w:spacing w:val="-2"/>
          <w:sz w:val="20"/>
        </w:rPr>
        <w:t>variable:</w:t>
      </w:r>
    </w:p>
    <w:p>
      <w:pPr>
        <w:pStyle w:val="BodyText"/>
        <w:spacing w:line="20" w:lineRule="exact"/>
        <w:ind w:left="2561"/>
        <w:rPr>
          <w:rFonts w:ascii="Bookman Old Style"/>
          <w:sz w:val="2"/>
        </w:rPr>
      </w:pPr>
      <w:r>
        <w:rPr>
          <w:rFonts w:ascii="Bookman Old Style"/>
          <w:sz w:val="2"/>
        </w:rPr>
        <w:pict>
          <v:group style="width:326.7pt;height:.4pt;mso-position-horizontal-relative:char;mso-position-vertical-relative:line" id="docshapegroup31" coordorigin="0,0" coordsize="6534,8">
            <v:line style="position:absolute" from="0,4" to="6533,4" stroked="true" strokeweight=".398pt" strokecolor="#000000">
              <v:stroke dashstyle="solid"/>
            </v:line>
          </v:group>
        </w:pict>
      </w:r>
      <w:r>
        <w:rPr>
          <w:rFonts w:ascii="Bookman Old Style"/>
          <w:sz w:val="2"/>
        </w:rPr>
      </w:r>
    </w:p>
    <w:p>
      <w:pPr>
        <w:pStyle w:val="BodyText"/>
        <w:tabs>
          <w:tab w:pos="6193" w:val="left" w:leader="none"/>
        </w:tabs>
        <w:spacing w:before="44"/>
        <w:ind w:left="3081"/>
      </w:pPr>
      <w:r>
        <w:rPr>
          <w:spacing w:val="-2"/>
        </w:rPr>
        <w:t>milex</w:t>
      </w:r>
      <w:r>
        <w:rPr>
          <w:spacing w:val="4"/>
        </w:rPr>
        <w:t> </w:t>
      </w:r>
      <w:r>
        <w:rPr>
          <w:spacing w:val="-2"/>
        </w:rPr>
        <w:t>(2017</w:t>
      </w:r>
      <w:r>
        <w:rPr>
          <w:spacing w:val="5"/>
        </w:rPr>
        <w:t> </w:t>
      </w:r>
      <w:r>
        <w:rPr>
          <w:spacing w:val="-2"/>
        </w:rPr>
        <w:t>constant</w:t>
      </w:r>
      <w:r>
        <w:rPr>
          <w:spacing w:val="5"/>
        </w:rPr>
        <w:t> </w:t>
      </w:r>
      <w:r>
        <w:rPr>
          <w:spacing w:val="-4"/>
        </w:rPr>
        <w:t>USD)</w:t>
      </w:r>
      <w:r>
        <w:rPr/>
        <w:tab/>
      </w:r>
      <w:r>
        <w:rPr>
          <w:spacing w:val="-2"/>
        </w:rPr>
        <w:t>log(milex</w:t>
      </w:r>
      <w:r>
        <w:rPr>
          <w:spacing w:val="4"/>
        </w:rPr>
        <w:t> </w:t>
      </w:r>
      <w:r>
        <w:rPr>
          <w:spacing w:val="-2"/>
        </w:rPr>
        <w:t>(2017</w:t>
      </w:r>
      <w:r>
        <w:rPr>
          <w:spacing w:val="5"/>
        </w:rPr>
        <w:t> </w:t>
      </w:r>
      <w:r>
        <w:rPr>
          <w:spacing w:val="-2"/>
        </w:rPr>
        <w:t>constant</w:t>
      </w:r>
      <w:r>
        <w:rPr>
          <w:spacing w:val="4"/>
        </w:rPr>
        <w:t> </w:t>
      </w:r>
      <w:r>
        <w:rPr>
          <w:spacing w:val="-2"/>
        </w:rPr>
        <w:t>USD))</w:t>
      </w:r>
    </w:p>
    <w:p>
      <w:pPr>
        <w:pStyle w:val="BodyText"/>
        <w:spacing w:before="6"/>
        <w:rPr>
          <w:sz w:val="11"/>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6"/>
        <w:gridCol w:w="1751"/>
        <w:gridCol w:w="1756"/>
        <w:gridCol w:w="1360"/>
        <w:gridCol w:w="1716"/>
      </w:tblGrid>
      <w:tr>
        <w:trPr>
          <w:trHeight w:val="220" w:hRule="atLeast"/>
        </w:trPr>
        <w:tc>
          <w:tcPr>
            <w:tcW w:w="2396" w:type="dxa"/>
            <w:tcBorders>
              <w:bottom w:val="single" w:sz="4" w:space="0" w:color="000000"/>
            </w:tcBorders>
          </w:tcPr>
          <w:p>
            <w:pPr>
              <w:pStyle w:val="TableParagraph"/>
              <w:jc w:val="left"/>
              <w:rPr>
                <w:rFonts w:ascii="Times New Roman"/>
                <w:sz w:val="14"/>
              </w:rPr>
            </w:pPr>
          </w:p>
        </w:tc>
        <w:tc>
          <w:tcPr>
            <w:tcW w:w="1751" w:type="dxa"/>
            <w:tcBorders>
              <w:bottom w:val="single" w:sz="4" w:space="0" w:color="000000"/>
            </w:tcBorders>
          </w:tcPr>
          <w:p>
            <w:pPr>
              <w:pStyle w:val="TableParagraph"/>
              <w:spacing w:line="193" w:lineRule="exact"/>
              <w:ind w:left="70" w:right="66"/>
              <w:rPr>
                <w:sz w:val="20"/>
              </w:rPr>
            </w:pPr>
            <w:r>
              <w:rPr>
                <w:spacing w:val="-5"/>
                <w:w w:val="105"/>
                <w:sz w:val="20"/>
              </w:rPr>
              <w:t>(1)</w:t>
            </w:r>
          </w:p>
        </w:tc>
        <w:tc>
          <w:tcPr>
            <w:tcW w:w="1756" w:type="dxa"/>
            <w:tcBorders>
              <w:bottom w:val="single" w:sz="4" w:space="0" w:color="000000"/>
            </w:tcBorders>
          </w:tcPr>
          <w:p>
            <w:pPr>
              <w:pStyle w:val="TableParagraph"/>
              <w:spacing w:line="193" w:lineRule="exact"/>
              <w:ind w:left="83" w:right="74"/>
              <w:rPr>
                <w:sz w:val="20"/>
              </w:rPr>
            </w:pPr>
            <w:r>
              <w:rPr>
                <w:spacing w:val="-5"/>
                <w:sz w:val="20"/>
              </w:rPr>
              <w:t>(2)</w:t>
            </w:r>
          </w:p>
        </w:tc>
        <w:tc>
          <w:tcPr>
            <w:tcW w:w="1360" w:type="dxa"/>
            <w:tcBorders>
              <w:bottom w:val="single" w:sz="4" w:space="0" w:color="000000"/>
            </w:tcBorders>
          </w:tcPr>
          <w:p>
            <w:pPr>
              <w:pStyle w:val="TableParagraph"/>
              <w:spacing w:line="193" w:lineRule="exact"/>
              <w:ind w:left="116" w:right="316"/>
              <w:rPr>
                <w:sz w:val="20"/>
              </w:rPr>
            </w:pPr>
            <w:r>
              <w:rPr>
                <w:spacing w:val="-5"/>
                <w:sz w:val="20"/>
              </w:rPr>
              <w:t>(3)</w:t>
            </w:r>
          </w:p>
        </w:tc>
        <w:tc>
          <w:tcPr>
            <w:tcW w:w="1716" w:type="dxa"/>
            <w:tcBorders>
              <w:bottom w:val="single" w:sz="4" w:space="0" w:color="000000"/>
            </w:tcBorders>
          </w:tcPr>
          <w:p>
            <w:pPr>
              <w:pStyle w:val="TableParagraph"/>
              <w:spacing w:line="193" w:lineRule="exact"/>
              <w:ind w:left="604" w:right="759"/>
              <w:rPr>
                <w:sz w:val="20"/>
              </w:rPr>
            </w:pPr>
            <w:r>
              <w:rPr>
                <w:spacing w:val="-5"/>
                <w:sz w:val="20"/>
              </w:rPr>
              <w:t>(4)</w:t>
            </w:r>
          </w:p>
        </w:tc>
      </w:tr>
      <w:tr>
        <w:trPr>
          <w:trHeight w:val="320" w:hRule="atLeast"/>
        </w:trPr>
        <w:tc>
          <w:tcPr>
            <w:tcW w:w="2396" w:type="dxa"/>
            <w:tcBorders>
              <w:top w:val="single" w:sz="4" w:space="0" w:color="000000"/>
            </w:tcBorders>
          </w:tcPr>
          <w:p>
            <w:pPr>
              <w:pStyle w:val="TableParagraph"/>
              <w:spacing w:before="67"/>
              <w:ind w:left="50"/>
              <w:jc w:val="left"/>
              <w:rPr>
                <w:sz w:val="20"/>
              </w:rPr>
            </w:pPr>
            <w:r>
              <w:rPr>
                <w:spacing w:val="-2"/>
                <w:sz w:val="20"/>
              </w:rPr>
              <w:t>Oilrents</w:t>
            </w:r>
          </w:p>
        </w:tc>
        <w:tc>
          <w:tcPr>
            <w:tcW w:w="1751" w:type="dxa"/>
            <w:tcBorders>
              <w:top w:val="single" w:sz="4" w:space="0" w:color="000000"/>
            </w:tcBorders>
          </w:tcPr>
          <w:p>
            <w:pPr>
              <w:pStyle w:val="TableParagraph"/>
              <w:spacing w:line="269" w:lineRule="exact" w:before="31"/>
              <w:ind w:left="70" w:right="67"/>
              <w:rPr>
                <w:sz w:val="20"/>
              </w:rPr>
            </w:pPr>
            <w:r>
              <w:rPr>
                <w:rFonts w:ascii="Lucida Sans Unicode" w:hAnsi="Lucida Sans Unicode"/>
                <w:spacing w:val="-2"/>
                <w:sz w:val="20"/>
              </w:rPr>
              <w:t>−</w:t>
            </w:r>
            <w:r>
              <w:rPr>
                <w:spacing w:val="-2"/>
                <w:sz w:val="20"/>
              </w:rPr>
              <w:t>384,447,114</w:t>
            </w:r>
          </w:p>
        </w:tc>
        <w:tc>
          <w:tcPr>
            <w:tcW w:w="1756" w:type="dxa"/>
            <w:tcBorders>
              <w:top w:val="single" w:sz="4" w:space="0" w:color="000000"/>
            </w:tcBorders>
          </w:tcPr>
          <w:p>
            <w:pPr>
              <w:pStyle w:val="TableParagraph"/>
              <w:spacing w:line="269" w:lineRule="exact" w:before="31"/>
              <w:ind w:left="83" w:right="75"/>
              <w:rPr>
                <w:sz w:val="20"/>
              </w:rPr>
            </w:pPr>
            <w:r>
              <w:rPr>
                <w:rFonts w:ascii="Lucida Sans Unicode" w:hAnsi="Lucida Sans Unicode"/>
                <w:spacing w:val="-2"/>
                <w:sz w:val="20"/>
              </w:rPr>
              <w:t>−</w:t>
            </w:r>
            <w:r>
              <w:rPr>
                <w:spacing w:val="-2"/>
                <w:sz w:val="20"/>
              </w:rPr>
              <w:t>160,865,293</w:t>
            </w:r>
          </w:p>
        </w:tc>
        <w:tc>
          <w:tcPr>
            <w:tcW w:w="1360" w:type="dxa"/>
            <w:tcBorders>
              <w:top w:val="single" w:sz="4" w:space="0" w:color="000000"/>
            </w:tcBorders>
          </w:tcPr>
          <w:p>
            <w:pPr>
              <w:pStyle w:val="TableParagraph"/>
              <w:spacing w:line="269" w:lineRule="exact" w:before="31"/>
              <w:ind w:left="116" w:right="318"/>
              <w:rPr>
                <w:sz w:val="20"/>
              </w:rPr>
            </w:pPr>
            <w:r>
              <w:rPr>
                <w:rFonts w:ascii="Lucida Sans Unicode" w:hAnsi="Lucida Sans Unicode"/>
                <w:spacing w:val="-2"/>
                <w:sz w:val="20"/>
              </w:rPr>
              <w:t>−</w:t>
            </w:r>
            <w:r>
              <w:rPr>
                <w:spacing w:val="-2"/>
                <w:sz w:val="20"/>
              </w:rPr>
              <w:t>0.026</w:t>
            </w:r>
          </w:p>
        </w:tc>
        <w:tc>
          <w:tcPr>
            <w:tcW w:w="1716" w:type="dxa"/>
            <w:tcBorders>
              <w:top w:val="single" w:sz="4" w:space="0" w:color="000000"/>
            </w:tcBorders>
          </w:tcPr>
          <w:p>
            <w:pPr>
              <w:pStyle w:val="TableParagraph"/>
              <w:spacing w:line="269" w:lineRule="exact" w:before="31"/>
              <w:ind w:left="474"/>
              <w:jc w:val="left"/>
              <w:rPr>
                <w:sz w:val="20"/>
              </w:rPr>
            </w:pPr>
            <w:r>
              <w:rPr>
                <w:rFonts w:ascii="Lucida Sans Unicode" w:hAnsi="Lucida Sans Unicode"/>
                <w:spacing w:val="-2"/>
                <w:sz w:val="20"/>
              </w:rPr>
              <w:t>−</w:t>
            </w:r>
            <w:r>
              <w:rPr>
                <w:spacing w:val="-2"/>
                <w:sz w:val="20"/>
              </w:rPr>
              <w:t>0.021</w:t>
            </w:r>
          </w:p>
        </w:tc>
      </w:tr>
      <w:tr>
        <w:trPr>
          <w:trHeight w:val="342" w:hRule="atLeast"/>
        </w:trPr>
        <w:tc>
          <w:tcPr>
            <w:tcW w:w="2396" w:type="dxa"/>
          </w:tcPr>
          <w:p>
            <w:pPr>
              <w:pStyle w:val="TableParagraph"/>
              <w:jc w:val="left"/>
              <w:rPr>
                <w:rFonts w:ascii="Times New Roman"/>
                <w:sz w:val="18"/>
              </w:rPr>
            </w:pPr>
          </w:p>
        </w:tc>
        <w:tc>
          <w:tcPr>
            <w:tcW w:w="1751" w:type="dxa"/>
          </w:tcPr>
          <w:p>
            <w:pPr>
              <w:pStyle w:val="TableParagraph"/>
              <w:spacing w:line="213" w:lineRule="exact"/>
              <w:ind w:left="70" w:right="65"/>
              <w:rPr>
                <w:sz w:val="20"/>
              </w:rPr>
            </w:pPr>
            <w:r>
              <w:rPr>
                <w:spacing w:val="-2"/>
                <w:sz w:val="20"/>
              </w:rPr>
              <w:t>(246,662,205)</w:t>
            </w:r>
          </w:p>
        </w:tc>
        <w:tc>
          <w:tcPr>
            <w:tcW w:w="1756" w:type="dxa"/>
          </w:tcPr>
          <w:p>
            <w:pPr>
              <w:pStyle w:val="TableParagraph"/>
              <w:spacing w:line="213" w:lineRule="exact"/>
              <w:ind w:left="83" w:right="70"/>
              <w:rPr>
                <w:sz w:val="20"/>
              </w:rPr>
            </w:pPr>
            <w:r>
              <w:rPr>
                <w:spacing w:val="-2"/>
                <w:sz w:val="20"/>
              </w:rPr>
              <w:t>(223,333,541)</w:t>
            </w:r>
          </w:p>
        </w:tc>
        <w:tc>
          <w:tcPr>
            <w:tcW w:w="1360" w:type="dxa"/>
          </w:tcPr>
          <w:p>
            <w:pPr>
              <w:pStyle w:val="TableParagraph"/>
              <w:spacing w:line="213" w:lineRule="exact"/>
              <w:ind w:left="116" w:right="310"/>
              <w:rPr>
                <w:sz w:val="20"/>
              </w:rPr>
            </w:pPr>
            <w:r>
              <w:rPr>
                <w:spacing w:val="-2"/>
                <w:sz w:val="20"/>
              </w:rPr>
              <w:t>(0.024)</w:t>
            </w:r>
          </w:p>
        </w:tc>
        <w:tc>
          <w:tcPr>
            <w:tcW w:w="1716" w:type="dxa"/>
          </w:tcPr>
          <w:p>
            <w:pPr>
              <w:pStyle w:val="TableParagraph"/>
              <w:spacing w:line="213" w:lineRule="exact"/>
              <w:ind w:left="478"/>
              <w:jc w:val="left"/>
              <w:rPr>
                <w:sz w:val="20"/>
              </w:rPr>
            </w:pPr>
            <w:r>
              <w:rPr>
                <w:spacing w:val="-2"/>
                <w:sz w:val="20"/>
              </w:rPr>
              <w:t>(0.022)</w:t>
            </w:r>
          </w:p>
        </w:tc>
      </w:tr>
      <w:tr>
        <w:trPr>
          <w:trHeight w:val="375" w:hRule="atLeast"/>
        </w:trPr>
        <w:tc>
          <w:tcPr>
            <w:tcW w:w="2396" w:type="dxa"/>
          </w:tcPr>
          <w:p>
            <w:pPr>
              <w:pStyle w:val="TableParagraph"/>
              <w:spacing w:before="122"/>
              <w:ind w:left="49"/>
              <w:jc w:val="left"/>
              <w:rPr>
                <w:sz w:val="20"/>
              </w:rPr>
            </w:pPr>
            <w:r>
              <w:rPr>
                <w:spacing w:val="-2"/>
                <w:sz w:val="20"/>
              </w:rPr>
              <w:t>log(GDP)</w:t>
            </w:r>
          </w:p>
        </w:tc>
        <w:tc>
          <w:tcPr>
            <w:tcW w:w="1751" w:type="dxa"/>
          </w:tcPr>
          <w:p>
            <w:pPr>
              <w:pStyle w:val="TableParagraph"/>
              <w:spacing w:line="269" w:lineRule="exact" w:before="86"/>
              <w:ind w:left="70" w:right="73"/>
              <w:rPr>
                <w:rFonts w:ascii="Lucida Sans Unicode" w:hAnsi="Lucida Sans Unicode"/>
                <w:sz w:val="20"/>
              </w:rPr>
            </w:pPr>
            <w:r>
              <w:rPr>
                <w:spacing w:val="-2"/>
                <w:sz w:val="20"/>
              </w:rPr>
              <w:t>3,283,270,833</w:t>
            </w:r>
            <w:r>
              <w:rPr>
                <w:rFonts w:ascii="Lucida Sans Unicode" w:hAnsi="Lucida Sans Unicode"/>
                <w:spacing w:val="-2"/>
                <w:sz w:val="20"/>
                <w:vertAlign w:val="superscript"/>
              </w:rPr>
              <w:t>∗∗∗</w:t>
            </w:r>
          </w:p>
        </w:tc>
        <w:tc>
          <w:tcPr>
            <w:tcW w:w="1756" w:type="dxa"/>
          </w:tcPr>
          <w:p>
            <w:pPr>
              <w:pStyle w:val="TableParagraph"/>
              <w:spacing w:line="269" w:lineRule="exact" w:before="86"/>
              <w:ind w:left="83" w:right="83"/>
              <w:rPr>
                <w:rFonts w:ascii="Lucida Sans Unicode" w:hAnsi="Lucida Sans Unicode"/>
                <w:sz w:val="20"/>
              </w:rPr>
            </w:pPr>
            <w:r>
              <w:rPr>
                <w:spacing w:val="-2"/>
                <w:sz w:val="20"/>
              </w:rPr>
              <w:t>3,666,134,906</w:t>
            </w:r>
            <w:r>
              <w:rPr>
                <w:rFonts w:ascii="Lucida Sans Unicode" w:hAnsi="Lucida Sans Unicode"/>
                <w:spacing w:val="-2"/>
                <w:sz w:val="20"/>
                <w:vertAlign w:val="superscript"/>
              </w:rPr>
              <w:t>∗∗∗</w:t>
            </w:r>
          </w:p>
        </w:tc>
        <w:tc>
          <w:tcPr>
            <w:tcW w:w="1360" w:type="dxa"/>
          </w:tcPr>
          <w:p>
            <w:pPr>
              <w:pStyle w:val="TableParagraph"/>
              <w:spacing w:line="269" w:lineRule="exact" w:before="86"/>
              <w:ind w:left="115" w:right="326"/>
              <w:rPr>
                <w:rFonts w:ascii="Lucida Sans Unicode" w:hAnsi="Lucida Sans Unicode"/>
                <w:sz w:val="20"/>
              </w:rPr>
            </w:pPr>
            <w:r>
              <w:rPr>
                <w:spacing w:val="-2"/>
                <w:sz w:val="20"/>
              </w:rPr>
              <w:t>1.170</w:t>
            </w:r>
            <w:r>
              <w:rPr>
                <w:rFonts w:ascii="Lucida Sans Unicode" w:hAnsi="Lucida Sans Unicode"/>
                <w:spacing w:val="-2"/>
                <w:sz w:val="20"/>
                <w:vertAlign w:val="superscript"/>
              </w:rPr>
              <w:t>∗∗∗</w:t>
            </w:r>
          </w:p>
        </w:tc>
        <w:tc>
          <w:tcPr>
            <w:tcW w:w="1716" w:type="dxa"/>
          </w:tcPr>
          <w:p>
            <w:pPr>
              <w:pStyle w:val="TableParagraph"/>
              <w:spacing w:line="269" w:lineRule="exact" w:before="86"/>
              <w:ind w:left="424"/>
              <w:jc w:val="left"/>
              <w:rPr>
                <w:rFonts w:ascii="Lucida Sans Unicode" w:hAnsi="Lucida Sans Unicode"/>
                <w:sz w:val="20"/>
              </w:rPr>
            </w:pPr>
            <w:r>
              <w:rPr>
                <w:spacing w:val="-2"/>
                <w:sz w:val="20"/>
              </w:rPr>
              <w:t>1.184</w:t>
            </w:r>
            <w:r>
              <w:rPr>
                <w:rFonts w:ascii="Lucida Sans Unicode" w:hAnsi="Lucida Sans Unicode"/>
                <w:spacing w:val="-2"/>
                <w:sz w:val="20"/>
                <w:vertAlign w:val="superscript"/>
              </w:rPr>
              <w:t>∗∗∗</w:t>
            </w:r>
          </w:p>
        </w:tc>
      </w:tr>
      <w:tr>
        <w:trPr>
          <w:trHeight w:val="342" w:hRule="atLeast"/>
        </w:trPr>
        <w:tc>
          <w:tcPr>
            <w:tcW w:w="2396" w:type="dxa"/>
          </w:tcPr>
          <w:p>
            <w:pPr>
              <w:pStyle w:val="TableParagraph"/>
              <w:jc w:val="left"/>
              <w:rPr>
                <w:rFonts w:ascii="Times New Roman"/>
                <w:sz w:val="18"/>
              </w:rPr>
            </w:pPr>
          </w:p>
        </w:tc>
        <w:tc>
          <w:tcPr>
            <w:tcW w:w="1751" w:type="dxa"/>
          </w:tcPr>
          <w:p>
            <w:pPr>
              <w:pStyle w:val="TableParagraph"/>
              <w:spacing w:line="213" w:lineRule="exact"/>
              <w:ind w:left="70" w:right="64"/>
              <w:rPr>
                <w:sz w:val="20"/>
              </w:rPr>
            </w:pPr>
            <w:r>
              <w:rPr>
                <w:spacing w:val="-2"/>
                <w:sz w:val="20"/>
              </w:rPr>
              <w:t>(1,094,388,524)</w:t>
            </w:r>
          </w:p>
        </w:tc>
        <w:tc>
          <w:tcPr>
            <w:tcW w:w="1756" w:type="dxa"/>
          </w:tcPr>
          <w:p>
            <w:pPr>
              <w:pStyle w:val="TableParagraph"/>
              <w:spacing w:line="213" w:lineRule="exact"/>
              <w:ind w:left="83" w:right="69"/>
              <w:rPr>
                <w:sz w:val="20"/>
              </w:rPr>
            </w:pPr>
            <w:r>
              <w:rPr>
                <w:spacing w:val="-2"/>
                <w:sz w:val="20"/>
              </w:rPr>
              <w:t>(1,088,693,981)</w:t>
            </w:r>
          </w:p>
        </w:tc>
        <w:tc>
          <w:tcPr>
            <w:tcW w:w="1360" w:type="dxa"/>
          </w:tcPr>
          <w:p>
            <w:pPr>
              <w:pStyle w:val="TableParagraph"/>
              <w:spacing w:line="213" w:lineRule="exact"/>
              <w:ind w:left="116" w:right="309"/>
              <w:rPr>
                <w:sz w:val="20"/>
              </w:rPr>
            </w:pPr>
            <w:r>
              <w:rPr>
                <w:spacing w:val="-2"/>
                <w:sz w:val="20"/>
              </w:rPr>
              <w:t>(0.107)</w:t>
            </w:r>
          </w:p>
        </w:tc>
        <w:tc>
          <w:tcPr>
            <w:tcW w:w="1716" w:type="dxa"/>
          </w:tcPr>
          <w:p>
            <w:pPr>
              <w:pStyle w:val="TableParagraph"/>
              <w:spacing w:line="213" w:lineRule="exact"/>
              <w:ind w:left="478"/>
              <w:jc w:val="left"/>
              <w:rPr>
                <w:sz w:val="20"/>
              </w:rPr>
            </w:pPr>
            <w:r>
              <w:rPr>
                <w:spacing w:val="-2"/>
                <w:sz w:val="20"/>
              </w:rPr>
              <w:t>(0.105)</w:t>
            </w:r>
          </w:p>
        </w:tc>
      </w:tr>
      <w:tr>
        <w:trPr>
          <w:trHeight w:val="375" w:hRule="atLeast"/>
        </w:trPr>
        <w:tc>
          <w:tcPr>
            <w:tcW w:w="2396" w:type="dxa"/>
          </w:tcPr>
          <w:p>
            <w:pPr>
              <w:pStyle w:val="TableParagraph"/>
              <w:spacing w:before="122"/>
              <w:ind w:left="49"/>
              <w:jc w:val="left"/>
              <w:rPr>
                <w:sz w:val="20"/>
              </w:rPr>
            </w:pPr>
            <w:r>
              <w:rPr>
                <w:sz w:val="20"/>
              </w:rPr>
              <w:t>Total</w:t>
            </w:r>
            <w:r>
              <w:rPr>
                <w:spacing w:val="17"/>
                <w:sz w:val="20"/>
              </w:rPr>
              <w:t> </w:t>
            </w:r>
            <w:r>
              <w:rPr>
                <w:spacing w:val="-2"/>
                <w:sz w:val="20"/>
              </w:rPr>
              <w:t>reserves</w:t>
            </w:r>
          </w:p>
        </w:tc>
        <w:tc>
          <w:tcPr>
            <w:tcW w:w="1751" w:type="dxa"/>
          </w:tcPr>
          <w:p>
            <w:pPr>
              <w:pStyle w:val="TableParagraph"/>
              <w:spacing w:line="269" w:lineRule="exact" w:before="86"/>
              <w:ind w:left="70" w:right="73"/>
              <w:rPr>
                <w:rFonts w:ascii="Lucida Sans Unicode" w:hAnsi="Lucida Sans Unicode"/>
                <w:sz w:val="20"/>
              </w:rPr>
            </w:pPr>
            <w:r>
              <w:rPr>
                <w:spacing w:val="-2"/>
                <w:sz w:val="20"/>
              </w:rPr>
              <w:t>10,815,253</w:t>
            </w:r>
            <w:r>
              <w:rPr>
                <w:rFonts w:ascii="Lucida Sans Unicode" w:hAnsi="Lucida Sans Unicode"/>
                <w:spacing w:val="-2"/>
                <w:sz w:val="20"/>
                <w:vertAlign w:val="superscript"/>
              </w:rPr>
              <w:t>∗∗∗</w:t>
            </w:r>
          </w:p>
        </w:tc>
        <w:tc>
          <w:tcPr>
            <w:tcW w:w="1756" w:type="dxa"/>
          </w:tcPr>
          <w:p>
            <w:pPr>
              <w:pStyle w:val="TableParagraph"/>
              <w:spacing w:line="269" w:lineRule="exact" w:before="86"/>
              <w:ind w:left="83" w:right="83"/>
              <w:rPr>
                <w:rFonts w:ascii="Lucida Sans Unicode" w:hAnsi="Lucida Sans Unicode"/>
                <w:sz w:val="20"/>
              </w:rPr>
            </w:pPr>
            <w:r>
              <w:rPr>
                <w:spacing w:val="-2"/>
                <w:sz w:val="20"/>
              </w:rPr>
              <w:t>10,759,540</w:t>
            </w:r>
            <w:r>
              <w:rPr>
                <w:rFonts w:ascii="Lucida Sans Unicode" w:hAnsi="Lucida Sans Unicode"/>
                <w:spacing w:val="-2"/>
                <w:sz w:val="20"/>
                <w:vertAlign w:val="superscript"/>
              </w:rPr>
              <w:t>∗∗∗</w:t>
            </w:r>
          </w:p>
        </w:tc>
        <w:tc>
          <w:tcPr>
            <w:tcW w:w="1360" w:type="dxa"/>
          </w:tcPr>
          <w:p>
            <w:pPr>
              <w:pStyle w:val="TableParagraph"/>
              <w:spacing w:line="269" w:lineRule="exact" w:before="86"/>
              <w:ind w:left="115" w:right="326"/>
              <w:rPr>
                <w:rFonts w:ascii="Lucida Sans Unicode" w:hAnsi="Lucida Sans Unicode"/>
                <w:sz w:val="20"/>
              </w:rPr>
            </w:pPr>
            <w:r>
              <w:rPr>
                <w:spacing w:val="-2"/>
                <w:w w:val="95"/>
                <w:sz w:val="20"/>
              </w:rPr>
              <w:t>0.0001</w:t>
            </w:r>
            <w:r>
              <w:rPr>
                <w:rFonts w:ascii="Lucida Sans Unicode" w:hAnsi="Lucida Sans Unicode"/>
                <w:spacing w:val="-2"/>
                <w:w w:val="95"/>
                <w:sz w:val="20"/>
                <w:vertAlign w:val="superscript"/>
              </w:rPr>
              <w:t>∗∗∗</w:t>
            </w:r>
          </w:p>
        </w:tc>
        <w:tc>
          <w:tcPr>
            <w:tcW w:w="1716" w:type="dxa"/>
          </w:tcPr>
          <w:p>
            <w:pPr>
              <w:pStyle w:val="TableParagraph"/>
              <w:spacing w:line="269" w:lineRule="exact" w:before="86"/>
              <w:ind w:left="374"/>
              <w:jc w:val="left"/>
              <w:rPr>
                <w:rFonts w:ascii="Lucida Sans Unicode" w:hAnsi="Lucida Sans Unicode"/>
                <w:sz w:val="20"/>
              </w:rPr>
            </w:pPr>
            <w:r>
              <w:rPr>
                <w:spacing w:val="-2"/>
                <w:w w:val="95"/>
                <w:sz w:val="20"/>
              </w:rPr>
              <w:t>0.0001</w:t>
            </w:r>
            <w:r>
              <w:rPr>
                <w:rFonts w:ascii="Lucida Sans Unicode" w:hAnsi="Lucida Sans Unicode"/>
                <w:spacing w:val="-2"/>
                <w:w w:val="95"/>
                <w:sz w:val="20"/>
                <w:vertAlign w:val="superscript"/>
              </w:rPr>
              <w:t>∗∗∗</w:t>
            </w:r>
          </w:p>
        </w:tc>
      </w:tr>
      <w:tr>
        <w:trPr>
          <w:trHeight w:val="342" w:hRule="atLeast"/>
        </w:trPr>
        <w:tc>
          <w:tcPr>
            <w:tcW w:w="2396" w:type="dxa"/>
          </w:tcPr>
          <w:p>
            <w:pPr>
              <w:pStyle w:val="TableParagraph"/>
              <w:jc w:val="left"/>
              <w:rPr>
                <w:rFonts w:ascii="Times New Roman"/>
                <w:sz w:val="18"/>
              </w:rPr>
            </w:pPr>
          </w:p>
        </w:tc>
        <w:tc>
          <w:tcPr>
            <w:tcW w:w="1751" w:type="dxa"/>
          </w:tcPr>
          <w:p>
            <w:pPr>
              <w:pStyle w:val="TableParagraph"/>
              <w:spacing w:line="213" w:lineRule="exact"/>
              <w:ind w:left="70" w:right="65"/>
              <w:rPr>
                <w:sz w:val="20"/>
              </w:rPr>
            </w:pPr>
            <w:r>
              <w:rPr>
                <w:spacing w:val="-2"/>
                <w:sz w:val="20"/>
              </w:rPr>
              <w:t>(356,339)</w:t>
            </w:r>
          </w:p>
        </w:tc>
        <w:tc>
          <w:tcPr>
            <w:tcW w:w="1756" w:type="dxa"/>
          </w:tcPr>
          <w:p>
            <w:pPr>
              <w:pStyle w:val="TableParagraph"/>
              <w:spacing w:line="213" w:lineRule="exact"/>
              <w:ind w:left="83" w:right="71"/>
              <w:rPr>
                <w:sz w:val="20"/>
              </w:rPr>
            </w:pPr>
            <w:r>
              <w:rPr>
                <w:spacing w:val="-2"/>
                <w:sz w:val="20"/>
              </w:rPr>
              <w:t>(357,815)</w:t>
            </w:r>
          </w:p>
        </w:tc>
        <w:tc>
          <w:tcPr>
            <w:tcW w:w="1360" w:type="dxa"/>
          </w:tcPr>
          <w:p>
            <w:pPr>
              <w:pStyle w:val="TableParagraph"/>
              <w:spacing w:line="213" w:lineRule="exact"/>
              <w:ind w:left="116" w:right="312"/>
              <w:rPr>
                <w:sz w:val="20"/>
              </w:rPr>
            </w:pPr>
            <w:r>
              <w:rPr>
                <w:spacing w:val="-2"/>
                <w:w w:val="95"/>
                <w:sz w:val="20"/>
              </w:rPr>
              <w:t>(0.00003)</w:t>
            </w:r>
          </w:p>
        </w:tc>
        <w:tc>
          <w:tcPr>
            <w:tcW w:w="1716" w:type="dxa"/>
          </w:tcPr>
          <w:p>
            <w:pPr>
              <w:pStyle w:val="TableParagraph"/>
              <w:spacing w:line="213" w:lineRule="exact"/>
              <w:ind w:left="377"/>
              <w:jc w:val="left"/>
              <w:rPr>
                <w:sz w:val="20"/>
              </w:rPr>
            </w:pPr>
            <w:r>
              <w:rPr>
                <w:spacing w:val="-2"/>
                <w:sz w:val="20"/>
              </w:rPr>
              <w:t>(0.00003)</w:t>
            </w:r>
          </w:p>
        </w:tc>
      </w:tr>
      <w:tr>
        <w:trPr>
          <w:trHeight w:val="375" w:hRule="atLeast"/>
        </w:trPr>
        <w:tc>
          <w:tcPr>
            <w:tcW w:w="2396" w:type="dxa"/>
          </w:tcPr>
          <w:p>
            <w:pPr>
              <w:pStyle w:val="TableParagraph"/>
              <w:spacing w:before="122"/>
              <w:ind w:left="49"/>
              <w:jc w:val="left"/>
              <w:rPr>
                <w:sz w:val="20"/>
              </w:rPr>
            </w:pPr>
            <w:r>
              <w:rPr>
                <w:spacing w:val="-2"/>
                <w:sz w:val="20"/>
              </w:rPr>
              <w:t>Central government </w:t>
            </w:r>
            <w:r>
              <w:rPr>
                <w:spacing w:val="-4"/>
                <w:sz w:val="20"/>
              </w:rPr>
              <w:t>debt</w:t>
            </w:r>
          </w:p>
        </w:tc>
        <w:tc>
          <w:tcPr>
            <w:tcW w:w="1751" w:type="dxa"/>
          </w:tcPr>
          <w:p>
            <w:pPr>
              <w:pStyle w:val="TableParagraph"/>
              <w:spacing w:before="122"/>
              <w:ind w:left="70" w:right="67"/>
              <w:rPr>
                <w:sz w:val="20"/>
              </w:rPr>
            </w:pPr>
            <w:r>
              <w:rPr>
                <w:spacing w:val="-2"/>
                <w:sz w:val="20"/>
              </w:rPr>
              <w:t>11,786,521</w:t>
            </w:r>
          </w:p>
        </w:tc>
        <w:tc>
          <w:tcPr>
            <w:tcW w:w="1756" w:type="dxa"/>
          </w:tcPr>
          <w:p>
            <w:pPr>
              <w:pStyle w:val="TableParagraph"/>
              <w:spacing w:line="269" w:lineRule="exact" w:before="86"/>
              <w:ind w:left="82" w:right="83"/>
              <w:rPr>
                <w:rFonts w:ascii="Lucida Sans Unicode" w:hAnsi="Lucida Sans Unicode"/>
                <w:sz w:val="20"/>
              </w:rPr>
            </w:pPr>
            <w:r>
              <w:rPr>
                <w:spacing w:val="-2"/>
                <w:sz w:val="20"/>
              </w:rPr>
              <w:t>19,292,384</w:t>
            </w:r>
            <w:r>
              <w:rPr>
                <w:rFonts w:ascii="Lucida Sans Unicode" w:hAnsi="Lucida Sans Unicode"/>
                <w:spacing w:val="-2"/>
                <w:sz w:val="20"/>
                <w:vertAlign w:val="superscript"/>
              </w:rPr>
              <w:t>∗</w:t>
            </w:r>
          </w:p>
        </w:tc>
        <w:tc>
          <w:tcPr>
            <w:tcW w:w="1360" w:type="dxa"/>
          </w:tcPr>
          <w:p>
            <w:pPr>
              <w:pStyle w:val="TableParagraph"/>
              <w:spacing w:line="269" w:lineRule="exact" w:before="86"/>
              <w:ind w:left="115" w:right="326"/>
              <w:rPr>
                <w:rFonts w:ascii="Lucida Sans Unicode" w:hAnsi="Lucida Sans Unicode"/>
                <w:sz w:val="20"/>
              </w:rPr>
            </w:pPr>
            <w:r>
              <w:rPr>
                <w:spacing w:val="-2"/>
                <w:w w:val="90"/>
                <w:sz w:val="20"/>
              </w:rPr>
              <w:t>0.004</w:t>
            </w:r>
            <w:r>
              <w:rPr>
                <w:rFonts w:ascii="Lucida Sans Unicode" w:hAnsi="Lucida Sans Unicode"/>
                <w:spacing w:val="-2"/>
                <w:w w:val="90"/>
                <w:sz w:val="20"/>
                <w:vertAlign w:val="superscript"/>
              </w:rPr>
              <w:t>∗∗∗</w:t>
            </w:r>
          </w:p>
        </w:tc>
        <w:tc>
          <w:tcPr>
            <w:tcW w:w="1716" w:type="dxa"/>
          </w:tcPr>
          <w:p>
            <w:pPr>
              <w:pStyle w:val="TableParagraph"/>
              <w:spacing w:line="269" w:lineRule="exact" w:before="86"/>
              <w:ind w:left="424"/>
              <w:jc w:val="left"/>
              <w:rPr>
                <w:rFonts w:ascii="Lucida Sans Unicode" w:hAnsi="Lucida Sans Unicode"/>
                <w:sz w:val="20"/>
              </w:rPr>
            </w:pPr>
            <w:r>
              <w:rPr>
                <w:spacing w:val="-2"/>
                <w:w w:val="90"/>
                <w:sz w:val="20"/>
              </w:rPr>
              <w:t>0.004</w:t>
            </w:r>
            <w:r>
              <w:rPr>
                <w:rFonts w:ascii="Lucida Sans Unicode" w:hAnsi="Lucida Sans Unicode"/>
                <w:spacing w:val="-2"/>
                <w:w w:val="90"/>
                <w:sz w:val="20"/>
                <w:vertAlign w:val="superscript"/>
              </w:rPr>
              <w:t>∗∗∗</w:t>
            </w:r>
          </w:p>
        </w:tc>
      </w:tr>
      <w:tr>
        <w:trPr>
          <w:trHeight w:val="342" w:hRule="atLeast"/>
        </w:trPr>
        <w:tc>
          <w:tcPr>
            <w:tcW w:w="2396" w:type="dxa"/>
          </w:tcPr>
          <w:p>
            <w:pPr>
              <w:pStyle w:val="TableParagraph"/>
              <w:jc w:val="left"/>
              <w:rPr>
                <w:rFonts w:ascii="Times New Roman"/>
                <w:sz w:val="18"/>
              </w:rPr>
            </w:pPr>
          </w:p>
        </w:tc>
        <w:tc>
          <w:tcPr>
            <w:tcW w:w="1751" w:type="dxa"/>
          </w:tcPr>
          <w:p>
            <w:pPr>
              <w:pStyle w:val="TableParagraph"/>
              <w:spacing w:line="213" w:lineRule="exact"/>
              <w:ind w:left="70" w:right="65"/>
              <w:rPr>
                <w:sz w:val="20"/>
              </w:rPr>
            </w:pPr>
            <w:r>
              <w:rPr>
                <w:spacing w:val="-2"/>
                <w:sz w:val="20"/>
              </w:rPr>
              <w:t>(10,796,978)</w:t>
            </w:r>
          </w:p>
        </w:tc>
        <w:tc>
          <w:tcPr>
            <w:tcW w:w="1756" w:type="dxa"/>
          </w:tcPr>
          <w:p>
            <w:pPr>
              <w:pStyle w:val="TableParagraph"/>
              <w:spacing w:line="213" w:lineRule="exact"/>
              <w:ind w:left="83" w:right="70"/>
              <w:rPr>
                <w:sz w:val="20"/>
              </w:rPr>
            </w:pPr>
            <w:r>
              <w:rPr>
                <w:spacing w:val="-2"/>
                <w:sz w:val="20"/>
              </w:rPr>
              <w:t>(10,398,843)</w:t>
            </w:r>
          </w:p>
        </w:tc>
        <w:tc>
          <w:tcPr>
            <w:tcW w:w="1360" w:type="dxa"/>
          </w:tcPr>
          <w:p>
            <w:pPr>
              <w:pStyle w:val="TableParagraph"/>
              <w:spacing w:line="213" w:lineRule="exact"/>
              <w:ind w:left="116" w:right="311"/>
              <w:rPr>
                <w:sz w:val="20"/>
              </w:rPr>
            </w:pPr>
            <w:r>
              <w:rPr>
                <w:spacing w:val="-2"/>
                <w:sz w:val="20"/>
              </w:rPr>
              <w:t>(0.001)</w:t>
            </w:r>
          </w:p>
        </w:tc>
        <w:tc>
          <w:tcPr>
            <w:tcW w:w="1716" w:type="dxa"/>
          </w:tcPr>
          <w:p>
            <w:pPr>
              <w:pStyle w:val="TableParagraph"/>
              <w:spacing w:line="213" w:lineRule="exact"/>
              <w:ind w:left="477"/>
              <w:jc w:val="left"/>
              <w:rPr>
                <w:sz w:val="20"/>
              </w:rPr>
            </w:pPr>
            <w:r>
              <w:rPr>
                <w:spacing w:val="-2"/>
                <w:sz w:val="20"/>
              </w:rPr>
              <w:t>(0.001)</w:t>
            </w:r>
          </w:p>
        </w:tc>
      </w:tr>
      <w:tr>
        <w:trPr>
          <w:trHeight w:val="375" w:hRule="atLeast"/>
        </w:trPr>
        <w:tc>
          <w:tcPr>
            <w:tcW w:w="2396" w:type="dxa"/>
          </w:tcPr>
          <w:p>
            <w:pPr>
              <w:pStyle w:val="TableParagraph"/>
              <w:spacing w:before="122"/>
              <w:ind w:left="49"/>
              <w:jc w:val="left"/>
              <w:rPr>
                <w:sz w:val="20"/>
              </w:rPr>
            </w:pPr>
            <w:r>
              <w:rPr>
                <w:spacing w:val="-2"/>
                <w:sz w:val="20"/>
              </w:rPr>
              <w:t>WTIprice(t)*Oilrents</w:t>
            </w:r>
          </w:p>
        </w:tc>
        <w:tc>
          <w:tcPr>
            <w:tcW w:w="1751" w:type="dxa"/>
          </w:tcPr>
          <w:p>
            <w:pPr>
              <w:pStyle w:val="TableParagraph"/>
              <w:spacing w:line="269" w:lineRule="exact" w:before="86"/>
              <w:ind w:left="70" w:right="72"/>
              <w:rPr>
                <w:rFonts w:ascii="Lucida Sans Unicode" w:hAnsi="Lucida Sans Unicode"/>
                <w:sz w:val="20"/>
              </w:rPr>
            </w:pPr>
            <w:r>
              <w:rPr>
                <w:spacing w:val="-2"/>
                <w:sz w:val="20"/>
              </w:rPr>
              <w:t>11,922,098</w:t>
            </w:r>
            <w:r>
              <w:rPr>
                <w:rFonts w:ascii="Lucida Sans Unicode" w:hAnsi="Lucida Sans Unicode"/>
                <w:spacing w:val="-2"/>
                <w:sz w:val="20"/>
                <w:vertAlign w:val="superscript"/>
              </w:rPr>
              <w:t>∗∗∗</w:t>
            </w:r>
          </w:p>
        </w:tc>
        <w:tc>
          <w:tcPr>
            <w:tcW w:w="1756" w:type="dxa"/>
          </w:tcPr>
          <w:p>
            <w:pPr>
              <w:pStyle w:val="TableParagraph"/>
              <w:jc w:val="left"/>
              <w:rPr>
                <w:rFonts w:ascii="Times New Roman"/>
                <w:sz w:val="18"/>
              </w:rPr>
            </w:pPr>
          </w:p>
        </w:tc>
        <w:tc>
          <w:tcPr>
            <w:tcW w:w="1360" w:type="dxa"/>
          </w:tcPr>
          <w:p>
            <w:pPr>
              <w:pStyle w:val="TableParagraph"/>
              <w:spacing w:line="269" w:lineRule="exact" w:before="86"/>
              <w:ind w:left="115" w:right="326"/>
              <w:rPr>
                <w:rFonts w:ascii="Lucida Sans Unicode" w:hAnsi="Lucida Sans Unicode"/>
                <w:sz w:val="20"/>
              </w:rPr>
            </w:pPr>
            <w:r>
              <w:rPr>
                <w:spacing w:val="-2"/>
                <w:w w:val="95"/>
                <w:sz w:val="20"/>
              </w:rPr>
              <w:t>0.001</w:t>
            </w:r>
            <w:r>
              <w:rPr>
                <w:rFonts w:ascii="Lucida Sans Unicode" w:hAnsi="Lucida Sans Unicode"/>
                <w:spacing w:val="-2"/>
                <w:w w:val="95"/>
                <w:sz w:val="20"/>
                <w:vertAlign w:val="superscript"/>
              </w:rPr>
              <w:t>∗</w:t>
            </w:r>
          </w:p>
        </w:tc>
        <w:tc>
          <w:tcPr>
            <w:tcW w:w="1716" w:type="dxa"/>
          </w:tcPr>
          <w:p>
            <w:pPr>
              <w:pStyle w:val="TableParagraph"/>
              <w:jc w:val="left"/>
              <w:rPr>
                <w:rFonts w:ascii="Times New Roman"/>
                <w:sz w:val="18"/>
              </w:rPr>
            </w:pPr>
          </w:p>
        </w:tc>
      </w:tr>
      <w:tr>
        <w:trPr>
          <w:trHeight w:val="342" w:hRule="atLeast"/>
        </w:trPr>
        <w:tc>
          <w:tcPr>
            <w:tcW w:w="2396" w:type="dxa"/>
          </w:tcPr>
          <w:p>
            <w:pPr>
              <w:pStyle w:val="TableParagraph"/>
              <w:jc w:val="left"/>
              <w:rPr>
                <w:rFonts w:ascii="Times New Roman"/>
                <w:sz w:val="18"/>
              </w:rPr>
            </w:pPr>
          </w:p>
        </w:tc>
        <w:tc>
          <w:tcPr>
            <w:tcW w:w="1751" w:type="dxa"/>
          </w:tcPr>
          <w:p>
            <w:pPr>
              <w:pStyle w:val="TableParagraph"/>
              <w:spacing w:line="213" w:lineRule="exact"/>
              <w:ind w:left="70" w:right="65"/>
              <w:rPr>
                <w:sz w:val="20"/>
              </w:rPr>
            </w:pPr>
            <w:r>
              <w:rPr>
                <w:spacing w:val="-2"/>
                <w:sz w:val="20"/>
              </w:rPr>
              <w:t>(3,576,031)</w:t>
            </w:r>
          </w:p>
        </w:tc>
        <w:tc>
          <w:tcPr>
            <w:tcW w:w="1756" w:type="dxa"/>
          </w:tcPr>
          <w:p>
            <w:pPr>
              <w:pStyle w:val="TableParagraph"/>
              <w:jc w:val="left"/>
              <w:rPr>
                <w:rFonts w:ascii="Times New Roman"/>
                <w:sz w:val="18"/>
              </w:rPr>
            </w:pPr>
          </w:p>
        </w:tc>
        <w:tc>
          <w:tcPr>
            <w:tcW w:w="1360" w:type="dxa"/>
          </w:tcPr>
          <w:p>
            <w:pPr>
              <w:pStyle w:val="TableParagraph"/>
              <w:spacing w:line="213" w:lineRule="exact"/>
              <w:ind w:left="116" w:right="314"/>
              <w:rPr>
                <w:sz w:val="20"/>
              </w:rPr>
            </w:pPr>
            <w:r>
              <w:rPr>
                <w:spacing w:val="-2"/>
                <w:w w:val="95"/>
                <w:sz w:val="20"/>
              </w:rPr>
              <w:t>(0.0003)</w:t>
            </w:r>
          </w:p>
        </w:tc>
        <w:tc>
          <w:tcPr>
            <w:tcW w:w="1716" w:type="dxa"/>
          </w:tcPr>
          <w:p>
            <w:pPr>
              <w:pStyle w:val="TableParagraph"/>
              <w:jc w:val="left"/>
              <w:rPr>
                <w:rFonts w:ascii="Times New Roman"/>
                <w:sz w:val="18"/>
              </w:rPr>
            </w:pPr>
          </w:p>
        </w:tc>
      </w:tr>
      <w:tr>
        <w:trPr>
          <w:trHeight w:val="375" w:hRule="atLeast"/>
        </w:trPr>
        <w:tc>
          <w:tcPr>
            <w:tcW w:w="2396" w:type="dxa"/>
          </w:tcPr>
          <w:p>
            <w:pPr>
              <w:pStyle w:val="TableParagraph"/>
              <w:spacing w:before="122"/>
              <w:ind w:left="49"/>
              <w:jc w:val="left"/>
              <w:rPr>
                <w:sz w:val="20"/>
              </w:rPr>
            </w:pPr>
            <w:r>
              <w:rPr>
                <w:sz w:val="20"/>
              </w:rPr>
              <w:t>WTIprice(t-</w:t>
            </w:r>
            <w:r>
              <w:rPr>
                <w:spacing w:val="-2"/>
                <w:sz w:val="20"/>
              </w:rPr>
              <w:t>1)*Oilrents</w:t>
            </w:r>
          </w:p>
        </w:tc>
        <w:tc>
          <w:tcPr>
            <w:tcW w:w="1751" w:type="dxa"/>
          </w:tcPr>
          <w:p>
            <w:pPr>
              <w:pStyle w:val="TableParagraph"/>
              <w:jc w:val="left"/>
              <w:rPr>
                <w:rFonts w:ascii="Times New Roman"/>
                <w:sz w:val="18"/>
              </w:rPr>
            </w:pPr>
          </w:p>
        </w:tc>
        <w:tc>
          <w:tcPr>
            <w:tcW w:w="1756" w:type="dxa"/>
          </w:tcPr>
          <w:p>
            <w:pPr>
              <w:pStyle w:val="TableParagraph"/>
              <w:spacing w:line="269" w:lineRule="exact" w:before="86"/>
              <w:ind w:left="83" w:right="83"/>
              <w:rPr>
                <w:rFonts w:ascii="Lucida Sans Unicode" w:hAnsi="Lucida Sans Unicode"/>
                <w:sz w:val="20"/>
              </w:rPr>
            </w:pPr>
            <w:r>
              <w:rPr>
                <w:spacing w:val="-2"/>
                <w:sz w:val="20"/>
              </w:rPr>
              <w:t>5,342,796</w:t>
            </w:r>
            <w:r>
              <w:rPr>
                <w:rFonts w:ascii="Lucida Sans Unicode" w:hAnsi="Lucida Sans Unicode"/>
                <w:spacing w:val="-2"/>
                <w:sz w:val="20"/>
                <w:vertAlign w:val="superscript"/>
              </w:rPr>
              <w:t>∗∗∗</w:t>
            </w:r>
          </w:p>
        </w:tc>
        <w:tc>
          <w:tcPr>
            <w:tcW w:w="1360" w:type="dxa"/>
          </w:tcPr>
          <w:p>
            <w:pPr>
              <w:pStyle w:val="TableParagraph"/>
              <w:jc w:val="left"/>
              <w:rPr>
                <w:rFonts w:ascii="Times New Roman"/>
                <w:sz w:val="18"/>
              </w:rPr>
            </w:pPr>
          </w:p>
        </w:tc>
        <w:tc>
          <w:tcPr>
            <w:tcW w:w="1716" w:type="dxa"/>
          </w:tcPr>
          <w:p>
            <w:pPr>
              <w:pStyle w:val="TableParagraph"/>
              <w:spacing w:line="269" w:lineRule="exact" w:before="86"/>
              <w:ind w:left="415"/>
              <w:jc w:val="left"/>
              <w:rPr>
                <w:rFonts w:ascii="Lucida Sans Unicode" w:hAnsi="Lucida Sans Unicode"/>
                <w:sz w:val="20"/>
              </w:rPr>
            </w:pPr>
            <w:r>
              <w:rPr>
                <w:spacing w:val="-2"/>
                <w:w w:val="95"/>
                <w:sz w:val="20"/>
              </w:rPr>
              <w:t>0.0004</w:t>
            </w:r>
            <w:r>
              <w:rPr>
                <w:rFonts w:ascii="Lucida Sans Unicode" w:hAnsi="Lucida Sans Unicode"/>
                <w:spacing w:val="-2"/>
                <w:w w:val="95"/>
                <w:sz w:val="20"/>
                <w:vertAlign w:val="superscript"/>
              </w:rPr>
              <w:t>∗∗</w:t>
            </w:r>
          </w:p>
        </w:tc>
      </w:tr>
      <w:tr>
        <w:trPr>
          <w:trHeight w:val="479" w:hRule="atLeast"/>
        </w:trPr>
        <w:tc>
          <w:tcPr>
            <w:tcW w:w="2396" w:type="dxa"/>
            <w:tcBorders>
              <w:bottom w:val="single" w:sz="4" w:space="0" w:color="000000"/>
            </w:tcBorders>
          </w:tcPr>
          <w:p>
            <w:pPr>
              <w:pStyle w:val="TableParagraph"/>
              <w:jc w:val="left"/>
              <w:rPr>
                <w:rFonts w:ascii="Times New Roman"/>
                <w:sz w:val="18"/>
              </w:rPr>
            </w:pPr>
          </w:p>
        </w:tc>
        <w:tc>
          <w:tcPr>
            <w:tcW w:w="1751" w:type="dxa"/>
            <w:tcBorders>
              <w:bottom w:val="single" w:sz="4" w:space="0" w:color="000000"/>
            </w:tcBorders>
          </w:tcPr>
          <w:p>
            <w:pPr>
              <w:pStyle w:val="TableParagraph"/>
              <w:jc w:val="left"/>
              <w:rPr>
                <w:rFonts w:ascii="Times New Roman"/>
                <w:sz w:val="18"/>
              </w:rPr>
            </w:pPr>
          </w:p>
        </w:tc>
        <w:tc>
          <w:tcPr>
            <w:tcW w:w="1756" w:type="dxa"/>
            <w:tcBorders>
              <w:bottom w:val="single" w:sz="4" w:space="0" w:color="000000"/>
            </w:tcBorders>
          </w:tcPr>
          <w:p>
            <w:pPr>
              <w:pStyle w:val="TableParagraph"/>
              <w:spacing w:line="213" w:lineRule="exact"/>
              <w:ind w:left="83" w:right="73"/>
              <w:rPr>
                <w:sz w:val="20"/>
              </w:rPr>
            </w:pPr>
            <w:r>
              <w:rPr>
                <w:spacing w:val="-2"/>
                <w:sz w:val="20"/>
              </w:rPr>
              <w:t>(2,010,420)</w:t>
            </w:r>
          </w:p>
        </w:tc>
        <w:tc>
          <w:tcPr>
            <w:tcW w:w="1360" w:type="dxa"/>
            <w:tcBorders>
              <w:bottom w:val="single" w:sz="4" w:space="0" w:color="000000"/>
            </w:tcBorders>
          </w:tcPr>
          <w:p>
            <w:pPr>
              <w:pStyle w:val="TableParagraph"/>
              <w:jc w:val="left"/>
              <w:rPr>
                <w:rFonts w:ascii="Times New Roman"/>
                <w:sz w:val="18"/>
              </w:rPr>
            </w:pPr>
          </w:p>
        </w:tc>
        <w:tc>
          <w:tcPr>
            <w:tcW w:w="1716" w:type="dxa"/>
            <w:tcBorders>
              <w:bottom w:val="single" w:sz="4" w:space="0" w:color="000000"/>
            </w:tcBorders>
          </w:tcPr>
          <w:p>
            <w:pPr>
              <w:pStyle w:val="TableParagraph"/>
              <w:spacing w:line="213" w:lineRule="exact"/>
              <w:ind w:left="425"/>
              <w:jc w:val="left"/>
              <w:rPr>
                <w:sz w:val="20"/>
              </w:rPr>
            </w:pPr>
            <w:r>
              <w:rPr>
                <w:spacing w:val="-2"/>
                <w:w w:val="95"/>
                <w:sz w:val="20"/>
              </w:rPr>
              <w:t>(0.0002)</w:t>
            </w:r>
          </w:p>
        </w:tc>
      </w:tr>
      <w:tr>
        <w:trPr>
          <w:trHeight w:val="307" w:hRule="atLeast"/>
        </w:trPr>
        <w:tc>
          <w:tcPr>
            <w:tcW w:w="2396" w:type="dxa"/>
            <w:tcBorders>
              <w:top w:val="single" w:sz="4" w:space="0" w:color="000000"/>
            </w:tcBorders>
          </w:tcPr>
          <w:p>
            <w:pPr>
              <w:pStyle w:val="TableParagraph"/>
              <w:spacing w:line="219" w:lineRule="exact" w:before="67"/>
              <w:ind w:left="50"/>
              <w:jc w:val="left"/>
              <w:rPr>
                <w:sz w:val="20"/>
              </w:rPr>
            </w:pPr>
            <w:r>
              <w:rPr>
                <w:spacing w:val="-2"/>
                <w:sz w:val="20"/>
              </w:rPr>
              <w:t>Observations</w:t>
            </w:r>
          </w:p>
        </w:tc>
        <w:tc>
          <w:tcPr>
            <w:tcW w:w="1751" w:type="dxa"/>
            <w:tcBorders>
              <w:top w:val="single" w:sz="4" w:space="0" w:color="000000"/>
            </w:tcBorders>
          </w:tcPr>
          <w:p>
            <w:pPr>
              <w:pStyle w:val="TableParagraph"/>
              <w:spacing w:line="219" w:lineRule="exact" w:before="67"/>
              <w:ind w:left="70" w:right="67"/>
              <w:rPr>
                <w:sz w:val="20"/>
              </w:rPr>
            </w:pPr>
            <w:r>
              <w:rPr>
                <w:spacing w:val="-5"/>
                <w:w w:val="95"/>
                <w:sz w:val="20"/>
              </w:rPr>
              <w:t>384</w:t>
            </w:r>
          </w:p>
        </w:tc>
        <w:tc>
          <w:tcPr>
            <w:tcW w:w="1756" w:type="dxa"/>
            <w:tcBorders>
              <w:top w:val="single" w:sz="4" w:space="0" w:color="000000"/>
            </w:tcBorders>
          </w:tcPr>
          <w:p>
            <w:pPr>
              <w:pStyle w:val="TableParagraph"/>
              <w:spacing w:line="219" w:lineRule="exact" w:before="67"/>
              <w:ind w:left="83" w:right="75"/>
              <w:rPr>
                <w:sz w:val="20"/>
              </w:rPr>
            </w:pPr>
            <w:r>
              <w:rPr>
                <w:spacing w:val="-5"/>
                <w:w w:val="95"/>
                <w:sz w:val="20"/>
              </w:rPr>
              <w:t>384</w:t>
            </w:r>
          </w:p>
        </w:tc>
        <w:tc>
          <w:tcPr>
            <w:tcW w:w="1360" w:type="dxa"/>
            <w:tcBorders>
              <w:top w:val="single" w:sz="4" w:space="0" w:color="000000"/>
            </w:tcBorders>
          </w:tcPr>
          <w:p>
            <w:pPr>
              <w:pStyle w:val="TableParagraph"/>
              <w:spacing w:line="219" w:lineRule="exact" w:before="67"/>
              <w:ind w:left="116" w:right="318"/>
              <w:rPr>
                <w:sz w:val="20"/>
              </w:rPr>
            </w:pPr>
            <w:r>
              <w:rPr>
                <w:spacing w:val="-5"/>
                <w:w w:val="95"/>
                <w:sz w:val="20"/>
              </w:rPr>
              <w:t>384</w:t>
            </w:r>
          </w:p>
        </w:tc>
        <w:tc>
          <w:tcPr>
            <w:tcW w:w="1716" w:type="dxa"/>
            <w:tcBorders>
              <w:top w:val="single" w:sz="4" w:space="0" w:color="000000"/>
            </w:tcBorders>
          </w:tcPr>
          <w:p>
            <w:pPr>
              <w:pStyle w:val="TableParagraph"/>
              <w:spacing w:line="219" w:lineRule="exact" w:before="67"/>
              <w:ind w:left="604" w:right="761"/>
              <w:rPr>
                <w:sz w:val="20"/>
              </w:rPr>
            </w:pPr>
            <w:r>
              <w:rPr>
                <w:spacing w:val="-5"/>
                <w:w w:val="95"/>
                <w:sz w:val="20"/>
              </w:rPr>
              <w:t>384</w:t>
            </w:r>
          </w:p>
        </w:tc>
      </w:tr>
      <w:tr>
        <w:trPr>
          <w:trHeight w:val="232" w:hRule="atLeast"/>
        </w:trPr>
        <w:tc>
          <w:tcPr>
            <w:tcW w:w="2396" w:type="dxa"/>
          </w:tcPr>
          <w:p>
            <w:pPr>
              <w:pStyle w:val="TableParagraph"/>
              <w:spacing w:line="144" w:lineRule="auto" w:before="15"/>
              <w:ind w:left="50"/>
              <w:jc w:val="left"/>
              <w:rPr>
                <w:rFonts w:ascii="Century Gothic"/>
                <w:sz w:val="14"/>
              </w:rPr>
            </w:pPr>
            <w:r>
              <w:rPr>
                <w:spacing w:val="-5"/>
                <w:w w:val="105"/>
                <w:position w:val="-6"/>
                <w:sz w:val="20"/>
              </w:rPr>
              <w:t>R</w:t>
            </w:r>
            <w:r>
              <w:rPr>
                <w:rFonts w:ascii="Century Gothic"/>
                <w:spacing w:val="-5"/>
                <w:w w:val="105"/>
                <w:sz w:val="14"/>
              </w:rPr>
              <w:t>2</w:t>
            </w:r>
          </w:p>
        </w:tc>
        <w:tc>
          <w:tcPr>
            <w:tcW w:w="1751" w:type="dxa"/>
          </w:tcPr>
          <w:p>
            <w:pPr>
              <w:pStyle w:val="TableParagraph"/>
              <w:spacing w:line="213" w:lineRule="exact"/>
              <w:ind w:left="70" w:right="66"/>
              <w:rPr>
                <w:sz w:val="20"/>
              </w:rPr>
            </w:pPr>
            <w:r>
              <w:rPr>
                <w:spacing w:val="-2"/>
                <w:sz w:val="20"/>
              </w:rPr>
              <w:t>0.783</w:t>
            </w:r>
          </w:p>
        </w:tc>
        <w:tc>
          <w:tcPr>
            <w:tcW w:w="1756" w:type="dxa"/>
          </w:tcPr>
          <w:p>
            <w:pPr>
              <w:pStyle w:val="TableParagraph"/>
              <w:spacing w:line="213" w:lineRule="exact"/>
              <w:ind w:left="83" w:right="75"/>
              <w:rPr>
                <w:sz w:val="20"/>
              </w:rPr>
            </w:pPr>
            <w:r>
              <w:rPr>
                <w:spacing w:val="-2"/>
                <w:sz w:val="20"/>
              </w:rPr>
              <w:t>0.781</w:t>
            </w:r>
          </w:p>
        </w:tc>
        <w:tc>
          <w:tcPr>
            <w:tcW w:w="1360" w:type="dxa"/>
          </w:tcPr>
          <w:p>
            <w:pPr>
              <w:pStyle w:val="TableParagraph"/>
              <w:spacing w:line="213" w:lineRule="exact"/>
              <w:ind w:left="116" w:right="318"/>
              <w:rPr>
                <w:sz w:val="20"/>
              </w:rPr>
            </w:pPr>
            <w:r>
              <w:rPr>
                <w:spacing w:val="-2"/>
                <w:sz w:val="20"/>
              </w:rPr>
              <w:t>0.366</w:t>
            </w:r>
          </w:p>
        </w:tc>
        <w:tc>
          <w:tcPr>
            <w:tcW w:w="1716" w:type="dxa"/>
          </w:tcPr>
          <w:p>
            <w:pPr>
              <w:pStyle w:val="TableParagraph"/>
              <w:spacing w:line="213" w:lineRule="exact"/>
              <w:ind w:left="551"/>
              <w:jc w:val="left"/>
              <w:rPr>
                <w:sz w:val="20"/>
              </w:rPr>
            </w:pPr>
            <w:r>
              <w:rPr>
                <w:spacing w:val="-2"/>
                <w:w w:val="95"/>
                <w:sz w:val="20"/>
              </w:rPr>
              <w:t>0.368</w:t>
            </w:r>
          </w:p>
        </w:tc>
      </w:tr>
      <w:tr>
        <w:trPr>
          <w:trHeight w:val="242" w:hRule="atLeast"/>
        </w:trPr>
        <w:tc>
          <w:tcPr>
            <w:tcW w:w="2396" w:type="dxa"/>
          </w:tcPr>
          <w:p>
            <w:pPr>
              <w:pStyle w:val="TableParagraph"/>
              <w:spacing w:line="210" w:lineRule="exact"/>
              <w:ind w:left="50"/>
              <w:jc w:val="left"/>
              <w:rPr>
                <w:rFonts w:ascii="Century Gothic"/>
                <w:sz w:val="20"/>
              </w:rPr>
            </w:pPr>
            <w:r>
              <w:rPr>
                <w:sz w:val="20"/>
              </w:rPr>
              <w:t>Adjusted</w:t>
            </w:r>
            <w:r>
              <w:rPr>
                <w:spacing w:val="10"/>
                <w:sz w:val="20"/>
              </w:rPr>
              <w:t> </w:t>
            </w:r>
            <w:r>
              <w:rPr>
                <w:spacing w:val="-5"/>
                <w:sz w:val="20"/>
              </w:rPr>
              <w:t>R</w:t>
            </w:r>
            <w:r>
              <w:rPr>
                <w:rFonts w:ascii="Century Gothic"/>
                <w:spacing w:val="-5"/>
                <w:sz w:val="20"/>
                <w:vertAlign w:val="superscript"/>
              </w:rPr>
              <w:t>2</w:t>
            </w:r>
          </w:p>
        </w:tc>
        <w:tc>
          <w:tcPr>
            <w:tcW w:w="1751" w:type="dxa"/>
          </w:tcPr>
          <w:p>
            <w:pPr>
              <w:pStyle w:val="TableParagraph"/>
              <w:spacing w:line="210" w:lineRule="exact"/>
              <w:ind w:left="70" w:right="66"/>
              <w:rPr>
                <w:sz w:val="20"/>
              </w:rPr>
            </w:pPr>
            <w:r>
              <w:rPr>
                <w:spacing w:val="-2"/>
                <w:sz w:val="20"/>
              </w:rPr>
              <w:t>0.748</w:t>
            </w:r>
          </w:p>
        </w:tc>
        <w:tc>
          <w:tcPr>
            <w:tcW w:w="1756" w:type="dxa"/>
          </w:tcPr>
          <w:p>
            <w:pPr>
              <w:pStyle w:val="TableParagraph"/>
              <w:spacing w:line="210" w:lineRule="exact"/>
              <w:ind w:left="83" w:right="75"/>
              <w:rPr>
                <w:sz w:val="20"/>
              </w:rPr>
            </w:pPr>
            <w:r>
              <w:rPr>
                <w:spacing w:val="-2"/>
                <w:sz w:val="20"/>
              </w:rPr>
              <w:t>0.745</w:t>
            </w:r>
          </w:p>
        </w:tc>
        <w:tc>
          <w:tcPr>
            <w:tcW w:w="1360" w:type="dxa"/>
          </w:tcPr>
          <w:p>
            <w:pPr>
              <w:pStyle w:val="TableParagraph"/>
              <w:spacing w:line="210" w:lineRule="exact"/>
              <w:ind w:left="116" w:right="318"/>
              <w:rPr>
                <w:sz w:val="20"/>
              </w:rPr>
            </w:pPr>
            <w:r>
              <w:rPr>
                <w:spacing w:val="-2"/>
                <w:sz w:val="20"/>
              </w:rPr>
              <w:t>0.261</w:t>
            </w:r>
          </w:p>
        </w:tc>
        <w:tc>
          <w:tcPr>
            <w:tcW w:w="1716" w:type="dxa"/>
          </w:tcPr>
          <w:p>
            <w:pPr>
              <w:pStyle w:val="TableParagraph"/>
              <w:spacing w:line="210" w:lineRule="exact"/>
              <w:ind w:left="551"/>
              <w:jc w:val="left"/>
              <w:rPr>
                <w:sz w:val="20"/>
              </w:rPr>
            </w:pPr>
            <w:r>
              <w:rPr>
                <w:spacing w:val="-2"/>
                <w:sz w:val="20"/>
              </w:rPr>
              <w:t>0.264</w:t>
            </w:r>
          </w:p>
        </w:tc>
      </w:tr>
      <w:tr>
        <w:trPr>
          <w:trHeight w:val="266" w:hRule="atLeast"/>
        </w:trPr>
        <w:tc>
          <w:tcPr>
            <w:tcW w:w="2396" w:type="dxa"/>
            <w:tcBorders>
              <w:bottom w:val="double" w:sz="4" w:space="0" w:color="000000"/>
            </w:tcBorders>
          </w:tcPr>
          <w:p>
            <w:pPr>
              <w:pStyle w:val="TableParagraph"/>
              <w:spacing w:before="2"/>
              <w:ind w:left="50"/>
              <w:jc w:val="left"/>
              <w:rPr>
                <w:sz w:val="20"/>
              </w:rPr>
            </w:pPr>
            <w:r>
              <w:rPr>
                <w:sz w:val="20"/>
              </w:rPr>
              <w:t>F</w:t>
            </w:r>
            <w:r>
              <w:rPr>
                <w:spacing w:val="20"/>
                <w:sz w:val="20"/>
              </w:rPr>
              <w:t> </w:t>
            </w:r>
            <w:r>
              <w:rPr>
                <w:sz w:val="20"/>
              </w:rPr>
              <w:t>Statistic</w:t>
            </w:r>
            <w:r>
              <w:rPr>
                <w:spacing w:val="21"/>
                <w:sz w:val="20"/>
              </w:rPr>
              <w:t> </w:t>
            </w:r>
            <w:r>
              <w:rPr>
                <w:sz w:val="20"/>
              </w:rPr>
              <w:t>(df</w:t>
            </w:r>
            <w:r>
              <w:rPr>
                <w:spacing w:val="21"/>
                <w:sz w:val="20"/>
              </w:rPr>
              <w:t> </w:t>
            </w:r>
            <w:r>
              <w:rPr>
                <w:sz w:val="20"/>
              </w:rPr>
              <w:t>=</w:t>
            </w:r>
            <w:r>
              <w:rPr>
                <w:spacing w:val="21"/>
                <w:sz w:val="20"/>
              </w:rPr>
              <w:t> </w:t>
            </w:r>
            <w:r>
              <w:rPr>
                <w:sz w:val="20"/>
              </w:rPr>
              <w:t>5;</w:t>
            </w:r>
            <w:r>
              <w:rPr>
                <w:spacing w:val="21"/>
                <w:sz w:val="20"/>
              </w:rPr>
              <w:t> </w:t>
            </w:r>
            <w:r>
              <w:rPr>
                <w:spacing w:val="-4"/>
                <w:sz w:val="20"/>
              </w:rPr>
              <w:t>329)</w:t>
            </w:r>
          </w:p>
        </w:tc>
        <w:tc>
          <w:tcPr>
            <w:tcW w:w="1751" w:type="dxa"/>
            <w:tcBorders>
              <w:bottom w:val="double" w:sz="4" w:space="0" w:color="000000"/>
            </w:tcBorders>
          </w:tcPr>
          <w:p>
            <w:pPr>
              <w:pStyle w:val="TableParagraph"/>
              <w:spacing w:line="246" w:lineRule="exact"/>
              <w:ind w:left="69" w:right="73"/>
              <w:rPr>
                <w:rFonts w:ascii="Lucida Sans Unicode" w:hAnsi="Lucida Sans Unicode"/>
                <w:sz w:val="20"/>
              </w:rPr>
            </w:pPr>
            <w:r>
              <w:rPr>
                <w:spacing w:val="-2"/>
                <w:sz w:val="20"/>
              </w:rPr>
              <w:t>237.792</w:t>
            </w:r>
            <w:r>
              <w:rPr>
                <w:rFonts w:ascii="Lucida Sans Unicode" w:hAnsi="Lucida Sans Unicode"/>
                <w:spacing w:val="-2"/>
                <w:sz w:val="20"/>
                <w:vertAlign w:val="superscript"/>
              </w:rPr>
              <w:t>∗∗∗</w:t>
            </w:r>
          </w:p>
        </w:tc>
        <w:tc>
          <w:tcPr>
            <w:tcW w:w="1756" w:type="dxa"/>
            <w:tcBorders>
              <w:bottom w:val="double" w:sz="4" w:space="0" w:color="000000"/>
            </w:tcBorders>
          </w:tcPr>
          <w:p>
            <w:pPr>
              <w:pStyle w:val="TableParagraph"/>
              <w:spacing w:line="246" w:lineRule="exact"/>
              <w:ind w:left="83" w:right="83"/>
              <w:rPr>
                <w:rFonts w:ascii="Lucida Sans Unicode" w:hAnsi="Lucida Sans Unicode"/>
                <w:sz w:val="20"/>
              </w:rPr>
            </w:pPr>
            <w:r>
              <w:rPr>
                <w:spacing w:val="-2"/>
                <w:sz w:val="20"/>
              </w:rPr>
              <w:t>234.174</w:t>
            </w:r>
            <w:r>
              <w:rPr>
                <w:rFonts w:ascii="Lucida Sans Unicode" w:hAnsi="Lucida Sans Unicode"/>
                <w:spacing w:val="-2"/>
                <w:sz w:val="20"/>
                <w:vertAlign w:val="superscript"/>
              </w:rPr>
              <w:t>∗∗∗</w:t>
            </w:r>
          </w:p>
        </w:tc>
        <w:tc>
          <w:tcPr>
            <w:tcW w:w="1360" w:type="dxa"/>
            <w:tcBorders>
              <w:bottom w:val="double" w:sz="4" w:space="0" w:color="000000"/>
            </w:tcBorders>
          </w:tcPr>
          <w:p>
            <w:pPr>
              <w:pStyle w:val="TableParagraph"/>
              <w:spacing w:line="246" w:lineRule="exact"/>
              <w:ind w:left="115" w:right="326"/>
              <w:rPr>
                <w:rFonts w:ascii="Lucida Sans Unicode" w:hAnsi="Lucida Sans Unicode"/>
                <w:sz w:val="20"/>
              </w:rPr>
            </w:pPr>
            <w:r>
              <w:rPr>
                <w:spacing w:val="-2"/>
                <w:sz w:val="20"/>
              </w:rPr>
              <w:t>37.911</w:t>
            </w:r>
            <w:r>
              <w:rPr>
                <w:rFonts w:ascii="Lucida Sans Unicode" w:hAnsi="Lucida Sans Unicode"/>
                <w:spacing w:val="-2"/>
                <w:sz w:val="20"/>
                <w:vertAlign w:val="superscript"/>
              </w:rPr>
              <w:t>∗∗∗</w:t>
            </w:r>
          </w:p>
        </w:tc>
        <w:tc>
          <w:tcPr>
            <w:tcW w:w="1716" w:type="dxa"/>
            <w:tcBorders>
              <w:bottom w:val="double" w:sz="4" w:space="0" w:color="000000"/>
            </w:tcBorders>
          </w:tcPr>
          <w:p>
            <w:pPr>
              <w:pStyle w:val="TableParagraph"/>
              <w:spacing w:line="246" w:lineRule="exact"/>
              <w:ind w:left="374"/>
              <w:jc w:val="left"/>
              <w:rPr>
                <w:rFonts w:ascii="Lucida Sans Unicode" w:hAnsi="Lucida Sans Unicode"/>
                <w:sz w:val="20"/>
              </w:rPr>
            </w:pPr>
            <w:r>
              <w:rPr>
                <w:spacing w:val="-2"/>
                <w:w w:val="95"/>
                <w:sz w:val="20"/>
              </w:rPr>
              <w:t>38.277</w:t>
            </w:r>
            <w:r>
              <w:rPr>
                <w:rFonts w:ascii="Lucida Sans Unicode" w:hAnsi="Lucida Sans Unicode"/>
                <w:spacing w:val="-2"/>
                <w:w w:val="95"/>
                <w:sz w:val="20"/>
                <w:vertAlign w:val="superscript"/>
              </w:rPr>
              <w:t>∗∗∗</w:t>
            </w:r>
          </w:p>
        </w:tc>
      </w:tr>
      <w:tr>
        <w:trPr>
          <w:trHeight w:val="310" w:hRule="atLeast"/>
        </w:trPr>
        <w:tc>
          <w:tcPr>
            <w:tcW w:w="2396" w:type="dxa"/>
          </w:tcPr>
          <w:p>
            <w:pPr>
              <w:pStyle w:val="TableParagraph"/>
              <w:spacing w:line="218" w:lineRule="exact" w:before="72"/>
              <w:ind w:left="50"/>
              <w:jc w:val="left"/>
              <w:rPr>
                <w:rFonts w:ascii="Bookman Old Style"/>
                <w:b w:val="0"/>
                <w:i/>
                <w:sz w:val="20"/>
              </w:rPr>
            </w:pPr>
            <w:r>
              <w:rPr>
                <w:rFonts w:ascii="Bookman Old Style"/>
                <w:b w:val="0"/>
                <w:i/>
                <w:spacing w:val="-2"/>
                <w:sz w:val="20"/>
              </w:rPr>
              <w:t>Note:</w:t>
            </w:r>
          </w:p>
        </w:tc>
        <w:tc>
          <w:tcPr>
            <w:tcW w:w="6583" w:type="dxa"/>
            <w:gridSpan w:val="4"/>
          </w:tcPr>
          <w:p>
            <w:pPr>
              <w:pStyle w:val="TableParagraph"/>
              <w:spacing w:line="249" w:lineRule="exact" w:before="41"/>
              <w:ind w:left="3939"/>
              <w:jc w:val="left"/>
              <w:rPr>
                <w:sz w:val="20"/>
              </w:rPr>
            </w:pPr>
            <w:r>
              <w:rPr>
                <w:rFonts w:ascii="Lucida Sans Unicode" w:hAnsi="Lucida Sans Unicode"/>
                <w:spacing w:val="-2"/>
                <w:sz w:val="20"/>
                <w:vertAlign w:val="superscript"/>
              </w:rPr>
              <w:t>∗</w:t>
            </w:r>
            <w:r>
              <w:rPr>
                <w:spacing w:val="-2"/>
                <w:sz w:val="20"/>
                <w:vertAlign w:val="baseline"/>
              </w:rPr>
              <w:t>p</w:t>
            </w:r>
            <w:r>
              <w:rPr>
                <w:rFonts w:ascii="Bookman Old Style" w:hAnsi="Bookman Old Style"/>
                <w:b w:val="0"/>
                <w:i/>
                <w:spacing w:val="-2"/>
                <w:sz w:val="20"/>
                <w:vertAlign w:val="baseline"/>
              </w:rPr>
              <w:t>&lt;</w:t>
            </w:r>
            <w:r>
              <w:rPr>
                <w:spacing w:val="-2"/>
                <w:sz w:val="20"/>
                <w:vertAlign w:val="baseline"/>
              </w:rPr>
              <w:t>0.1;</w:t>
            </w:r>
            <w:r>
              <w:rPr>
                <w:sz w:val="20"/>
                <w:vertAlign w:val="baseline"/>
              </w:rPr>
              <w:t> </w:t>
            </w:r>
            <w:r>
              <w:rPr>
                <w:rFonts w:ascii="Lucida Sans Unicode" w:hAnsi="Lucida Sans Unicode"/>
                <w:spacing w:val="-2"/>
                <w:sz w:val="20"/>
                <w:vertAlign w:val="superscript"/>
              </w:rPr>
              <w:t>∗∗</w:t>
            </w:r>
            <w:r>
              <w:rPr>
                <w:spacing w:val="-2"/>
                <w:sz w:val="20"/>
                <w:vertAlign w:val="baseline"/>
              </w:rPr>
              <w:t>p</w:t>
            </w:r>
            <w:r>
              <w:rPr>
                <w:rFonts w:ascii="Bookman Old Style" w:hAnsi="Bookman Old Style"/>
                <w:b w:val="0"/>
                <w:i/>
                <w:spacing w:val="-2"/>
                <w:sz w:val="20"/>
                <w:vertAlign w:val="baseline"/>
              </w:rPr>
              <w:t>&lt;</w:t>
            </w:r>
            <w:r>
              <w:rPr>
                <w:spacing w:val="-2"/>
                <w:sz w:val="20"/>
                <w:vertAlign w:val="baseline"/>
              </w:rPr>
              <w:t>0.05;</w:t>
            </w:r>
            <w:r>
              <w:rPr>
                <w:sz w:val="20"/>
                <w:vertAlign w:val="baseline"/>
              </w:rPr>
              <w:t> </w:t>
            </w:r>
            <w:r>
              <w:rPr>
                <w:rFonts w:ascii="Lucida Sans Unicode" w:hAnsi="Lucida Sans Unicode"/>
                <w:spacing w:val="-2"/>
                <w:sz w:val="20"/>
                <w:vertAlign w:val="superscript"/>
              </w:rPr>
              <w:t>∗∗∗</w:t>
            </w:r>
            <w:r>
              <w:rPr>
                <w:spacing w:val="-2"/>
                <w:sz w:val="20"/>
                <w:vertAlign w:val="baseline"/>
              </w:rPr>
              <w:t>p</w:t>
            </w:r>
            <w:r>
              <w:rPr>
                <w:rFonts w:ascii="Bookman Old Style" w:hAnsi="Bookman Old Style"/>
                <w:b w:val="0"/>
                <w:i/>
                <w:spacing w:val="-2"/>
                <w:sz w:val="20"/>
                <w:vertAlign w:val="baseline"/>
              </w:rPr>
              <w:t>&lt;</w:t>
            </w:r>
            <w:r>
              <w:rPr>
                <w:spacing w:val="-2"/>
                <w:sz w:val="20"/>
                <w:vertAlign w:val="baseline"/>
              </w:rPr>
              <w:t>0.01</w:t>
            </w:r>
          </w:p>
        </w:tc>
      </w:tr>
    </w:tbl>
    <w:p>
      <w:pPr>
        <w:pStyle w:val="BodyText"/>
      </w:pPr>
    </w:p>
    <w:p>
      <w:pPr>
        <w:pStyle w:val="BodyText"/>
        <w:spacing w:before="7"/>
        <w:rPr>
          <w:sz w:val="22"/>
        </w:rPr>
      </w:pPr>
    </w:p>
    <w:p>
      <w:pPr>
        <w:pStyle w:val="BodyText"/>
        <w:ind w:left="436"/>
      </w:pPr>
      <w:r>
        <w:rPr>
          <w:spacing w:val="-2"/>
        </w:rPr>
        <w:t>Below</w:t>
      </w:r>
      <w:r>
        <w:rPr>
          <w:spacing w:val="2"/>
        </w:rPr>
        <w:t> </w:t>
      </w:r>
      <w:r>
        <w:rPr>
          <w:spacing w:val="-2"/>
        </w:rPr>
        <w:t>is</w:t>
      </w:r>
      <w:r>
        <w:rPr>
          <w:spacing w:val="2"/>
        </w:rPr>
        <w:t> </w:t>
      </w:r>
      <w:r>
        <w:rPr>
          <w:spacing w:val="-2"/>
        </w:rPr>
        <w:t>the</w:t>
      </w:r>
      <w:r>
        <w:rPr>
          <w:spacing w:val="2"/>
        </w:rPr>
        <w:t> </w:t>
      </w:r>
      <w:r>
        <w:rPr>
          <w:spacing w:val="-2"/>
        </w:rPr>
        <w:t>formal</w:t>
      </w:r>
      <w:r>
        <w:rPr>
          <w:spacing w:val="2"/>
        </w:rPr>
        <w:t> </w:t>
      </w:r>
      <w:r>
        <w:rPr>
          <w:spacing w:val="-2"/>
        </w:rPr>
        <w:t>model</w:t>
      </w:r>
      <w:r>
        <w:rPr>
          <w:spacing w:val="3"/>
        </w:rPr>
        <w:t> </w:t>
      </w:r>
      <w:r>
        <w:rPr>
          <w:spacing w:val="-2"/>
        </w:rPr>
        <w:t>specification</w:t>
      </w:r>
      <w:r>
        <w:rPr>
          <w:spacing w:val="2"/>
        </w:rPr>
        <w:t> </w:t>
      </w:r>
      <w:r>
        <w:rPr>
          <w:spacing w:val="-2"/>
        </w:rPr>
        <w:t>used</w:t>
      </w:r>
      <w:r>
        <w:rPr>
          <w:spacing w:val="2"/>
        </w:rPr>
        <w:t> </w:t>
      </w:r>
      <w:r>
        <w:rPr>
          <w:spacing w:val="-2"/>
        </w:rPr>
        <w:t>for</w:t>
      </w:r>
      <w:r>
        <w:rPr>
          <w:spacing w:val="2"/>
        </w:rPr>
        <w:t> </w:t>
      </w:r>
      <w:r>
        <w:rPr>
          <w:spacing w:val="-5"/>
        </w:rPr>
        <w:t>H3.</w:t>
      </w:r>
    </w:p>
    <w:p>
      <w:pPr>
        <w:pStyle w:val="BodyText"/>
        <w:spacing w:before="3"/>
        <w:rPr>
          <w:sz w:val="17"/>
        </w:rPr>
      </w:pPr>
    </w:p>
    <w:p>
      <w:pPr>
        <w:spacing w:before="0"/>
        <w:ind w:left="436" w:right="0" w:firstLine="0"/>
        <w:jc w:val="left"/>
        <w:rPr>
          <w:sz w:val="20"/>
        </w:rPr>
      </w:pPr>
      <w:r>
        <w:rPr>
          <w:rFonts w:ascii="Bookman Old Style"/>
          <w:b w:val="0"/>
          <w:i/>
          <w:sz w:val="20"/>
        </w:rPr>
        <w:t>Battle</w:t>
      </w:r>
      <w:r>
        <w:rPr>
          <w:rFonts w:ascii="Bookman Old Style"/>
          <w:b w:val="0"/>
          <w:i/>
          <w:spacing w:val="39"/>
          <w:sz w:val="20"/>
        </w:rPr>
        <w:t> </w:t>
      </w:r>
      <w:r>
        <w:rPr>
          <w:rFonts w:ascii="Bookman Old Style"/>
          <w:b w:val="0"/>
          <w:i/>
          <w:sz w:val="20"/>
        </w:rPr>
        <w:t>Deaths</w:t>
      </w:r>
      <w:r>
        <w:rPr>
          <w:rFonts w:ascii="Trebuchet MS"/>
          <w:i/>
          <w:sz w:val="20"/>
          <w:vertAlign w:val="subscript"/>
        </w:rPr>
        <w:t>it</w:t>
      </w:r>
      <w:r>
        <w:rPr>
          <w:rFonts w:ascii="Trebuchet MS"/>
          <w:i/>
          <w:spacing w:val="47"/>
          <w:sz w:val="20"/>
          <w:vertAlign w:val="baseline"/>
        </w:rPr>
        <w:t> </w:t>
      </w:r>
      <w:r>
        <w:rPr>
          <w:sz w:val="20"/>
          <w:vertAlign w:val="baseline"/>
        </w:rPr>
        <w:t>=</w:t>
      </w:r>
      <w:r>
        <w:rPr>
          <w:spacing w:val="47"/>
          <w:sz w:val="20"/>
          <w:vertAlign w:val="baseline"/>
        </w:rPr>
        <w:t> </w:t>
      </w:r>
      <w:r>
        <w:rPr>
          <w:rFonts w:ascii="Bookman Old Style"/>
          <w:b w:val="0"/>
          <w:i/>
          <w:sz w:val="20"/>
          <w:vertAlign w:val="baseline"/>
        </w:rPr>
        <w:t>B</w:t>
      </w:r>
      <w:r>
        <w:rPr>
          <w:rFonts w:ascii="Century Gothic"/>
          <w:sz w:val="20"/>
          <w:vertAlign w:val="subscript"/>
        </w:rPr>
        <w:t>0</w:t>
      </w:r>
      <w:r>
        <w:rPr>
          <w:rFonts w:ascii="Century Gothic"/>
          <w:spacing w:val="19"/>
          <w:sz w:val="20"/>
          <w:vertAlign w:val="baseline"/>
        </w:rPr>
        <w:t> </w:t>
      </w:r>
      <w:r>
        <w:rPr>
          <w:sz w:val="20"/>
          <w:vertAlign w:val="baseline"/>
        </w:rPr>
        <w:t>+</w:t>
      </w:r>
      <w:r>
        <w:rPr>
          <w:spacing w:val="15"/>
          <w:sz w:val="20"/>
          <w:vertAlign w:val="baseline"/>
        </w:rPr>
        <w:t> </w:t>
      </w:r>
      <w:r>
        <w:rPr>
          <w:rFonts w:ascii="Bookman Old Style"/>
          <w:b w:val="0"/>
          <w:i/>
          <w:sz w:val="20"/>
          <w:vertAlign w:val="baseline"/>
        </w:rPr>
        <w:t>B</w:t>
      </w:r>
      <w:r>
        <w:rPr>
          <w:rFonts w:ascii="Century Gothic"/>
          <w:sz w:val="20"/>
          <w:vertAlign w:val="subscript"/>
        </w:rPr>
        <w:t>1</w:t>
      </w:r>
      <w:r>
        <w:rPr>
          <w:rFonts w:ascii="Bookman Old Style"/>
          <w:b w:val="0"/>
          <w:i/>
          <w:sz w:val="20"/>
          <w:vertAlign w:val="baseline"/>
        </w:rPr>
        <w:t>log</w:t>
      </w:r>
      <w:r>
        <w:rPr>
          <w:sz w:val="20"/>
          <w:vertAlign w:val="baseline"/>
        </w:rPr>
        <w:t>(</w:t>
      </w:r>
      <w:r>
        <w:rPr>
          <w:rFonts w:ascii="Bookman Old Style"/>
          <w:b w:val="0"/>
          <w:i/>
          <w:sz w:val="20"/>
          <w:vertAlign w:val="baseline"/>
        </w:rPr>
        <w:t>milex</w:t>
      </w:r>
      <w:r>
        <w:rPr>
          <w:sz w:val="20"/>
          <w:vertAlign w:val="baseline"/>
        </w:rPr>
        <w:t>)</w:t>
      </w:r>
      <w:r>
        <w:rPr>
          <w:rFonts w:ascii="Trebuchet MS"/>
          <w:i/>
          <w:sz w:val="20"/>
          <w:vertAlign w:val="subscript"/>
        </w:rPr>
        <w:t>it</w:t>
      </w:r>
      <w:r>
        <w:rPr>
          <w:rFonts w:ascii="Trebuchet MS"/>
          <w:i/>
          <w:spacing w:val="15"/>
          <w:sz w:val="20"/>
          <w:vertAlign w:val="baseline"/>
        </w:rPr>
        <w:t> </w:t>
      </w:r>
      <w:r>
        <w:rPr>
          <w:sz w:val="20"/>
          <w:vertAlign w:val="baseline"/>
        </w:rPr>
        <w:t>+</w:t>
      </w:r>
      <w:r>
        <w:rPr>
          <w:spacing w:val="15"/>
          <w:sz w:val="20"/>
          <w:vertAlign w:val="baseline"/>
        </w:rPr>
        <w:t> </w:t>
      </w:r>
      <w:r>
        <w:rPr>
          <w:rFonts w:ascii="Bookman Old Style"/>
          <w:b w:val="0"/>
          <w:i/>
          <w:sz w:val="20"/>
          <w:vertAlign w:val="baseline"/>
        </w:rPr>
        <w:t>B</w:t>
      </w:r>
      <w:r>
        <w:rPr>
          <w:rFonts w:ascii="Century Gothic"/>
          <w:sz w:val="20"/>
          <w:vertAlign w:val="subscript"/>
        </w:rPr>
        <w:t>2</w:t>
      </w:r>
      <w:r>
        <w:rPr>
          <w:rFonts w:ascii="Bookman Old Style"/>
          <w:b w:val="0"/>
          <w:i/>
          <w:sz w:val="20"/>
          <w:vertAlign w:val="baseline"/>
        </w:rPr>
        <w:t>log</w:t>
      </w:r>
      <w:r>
        <w:rPr>
          <w:sz w:val="20"/>
          <w:vertAlign w:val="baseline"/>
        </w:rPr>
        <w:t>(</w:t>
      </w:r>
      <w:r>
        <w:rPr>
          <w:rFonts w:ascii="Bookman Old Style"/>
          <w:b w:val="0"/>
          <w:i/>
          <w:sz w:val="20"/>
          <w:vertAlign w:val="baseline"/>
        </w:rPr>
        <w:t>population</w:t>
      </w:r>
      <w:r>
        <w:rPr>
          <w:sz w:val="20"/>
          <w:vertAlign w:val="baseline"/>
        </w:rPr>
        <w:t>)</w:t>
      </w:r>
      <w:r>
        <w:rPr>
          <w:rFonts w:ascii="Trebuchet MS"/>
          <w:i/>
          <w:sz w:val="20"/>
          <w:vertAlign w:val="subscript"/>
        </w:rPr>
        <w:t>it</w:t>
      </w:r>
      <w:r>
        <w:rPr>
          <w:rFonts w:ascii="Trebuchet MS"/>
          <w:i/>
          <w:spacing w:val="14"/>
          <w:sz w:val="20"/>
          <w:vertAlign w:val="baseline"/>
        </w:rPr>
        <w:t> </w:t>
      </w:r>
      <w:r>
        <w:rPr>
          <w:sz w:val="20"/>
          <w:vertAlign w:val="baseline"/>
        </w:rPr>
        <w:t>+</w:t>
      </w:r>
      <w:r>
        <w:rPr>
          <w:spacing w:val="15"/>
          <w:sz w:val="20"/>
          <w:vertAlign w:val="baseline"/>
        </w:rPr>
        <w:t> </w:t>
      </w:r>
      <w:r>
        <w:rPr>
          <w:rFonts w:ascii="Bookman Old Style"/>
          <w:b w:val="0"/>
          <w:i/>
          <w:sz w:val="20"/>
          <w:vertAlign w:val="baseline"/>
        </w:rPr>
        <w:t>B</w:t>
      </w:r>
      <w:r>
        <w:rPr>
          <w:rFonts w:ascii="Century Gothic"/>
          <w:sz w:val="20"/>
          <w:vertAlign w:val="subscript"/>
        </w:rPr>
        <w:t>3</w:t>
      </w:r>
      <w:r>
        <w:rPr>
          <w:rFonts w:ascii="Bookman Old Style"/>
          <w:b w:val="0"/>
          <w:i/>
          <w:sz w:val="20"/>
          <w:vertAlign w:val="baseline"/>
        </w:rPr>
        <w:t>SecScore</w:t>
      </w:r>
      <w:r>
        <w:rPr>
          <w:rFonts w:ascii="Trebuchet MS"/>
          <w:i/>
          <w:sz w:val="20"/>
          <w:vertAlign w:val="subscript"/>
        </w:rPr>
        <w:t>it</w:t>
      </w:r>
      <w:r>
        <w:rPr>
          <w:rFonts w:ascii="Trebuchet MS"/>
          <w:i/>
          <w:spacing w:val="14"/>
          <w:sz w:val="20"/>
          <w:vertAlign w:val="baseline"/>
        </w:rPr>
        <w:t> </w:t>
      </w:r>
      <w:r>
        <w:rPr>
          <w:sz w:val="20"/>
          <w:vertAlign w:val="baseline"/>
        </w:rPr>
        <w:t>+</w:t>
      </w:r>
      <w:r>
        <w:rPr>
          <w:spacing w:val="15"/>
          <w:sz w:val="20"/>
          <w:vertAlign w:val="baseline"/>
        </w:rPr>
        <w:t> </w:t>
      </w:r>
      <w:r>
        <w:rPr>
          <w:rFonts w:ascii="Bookman Old Style"/>
          <w:b w:val="0"/>
          <w:i/>
          <w:sz w:val="20"/>
          <w:vertAlign w:val="baseline"/>
        </w:rPr>
        <w:t>B</w:t>
      </w:r>
      <w:r>
        <w:rPr>
          <w:rFonts w:ascii="Century Gothic"/>
          <w:sz w:val="20"/>
          <w:vertAlign w:val="subscript"/>
        </w:rPr>
        <w:t>4</w:t>
      </w:r>
      <w:r>
        <w:rPr>
          <w:rFonts w:ascii="Bookman Old Style"/>
          <w:b w:val="0"/>
          <w:i/>
          <w:sz w:val="20"/>
          <w:vertAlign w:val="baseline"/>
        </w:rPr>
        <w:t>log</w:t>
      </w:r>
      <w:r>
        <w:rPr>
          <w:sz w:val="20"/>
          <w:vertAlign w:val="baseline"/>
        </w:rPr>
        <w:t>(</w:t>
      </w:r>
      <w:r>
        <w:rPr>
          <w:rFonts w:ascii="Bookman Old Style"/>
          <w:b w:val="0"/>
          <w:i/>
          <w:sz w:val="20"/>
          <w:vertAlign w:val="baseline"/>
        </w:rPr>
        <w:t>GDP</w:t>
      </w:r>
      <w:r>
        <w:rPr>
          <w:rFonts w:ascii="Bookman Old Style"/>
          <w:b w:val="0"/>
          <w:i/>
          <w:spacing w:val="-29"/>
          <w:sz w:val="20"/>
          <w:vertAlign w:val="baseline"/>
        </w:rPr>
        <w:t> </w:t>
      </w:r>
      <w:r>
        <w:rPr>
          <w:sz w:val="20"/>
          <w:vertAlign w:val="baseline"/>
        </w:rPr>
        <w:t>)</w:t>
      </w:r>
      <w:r>
        <w:rPr>
          <w:rFonts w:ascii="Trebuchet MS"/>
          <w:i/>
          <w:sz w:val="20"/>
          <w:vertAlign w:val="subscript"/>
        </w:rPr>
        <w:t>it</w:t>
      </w:r>
      <w:r>
        <w:rPr>
          <w:rFonts w:ascii="Trebuchet MS"/>
          <w:i/>
          <w:spacing w:val="15"/>
          <w:sz w:val="20"/>
          <w:vertAlign w:val="baseline"/>
        </w:rPr>
        <w:t> </w:t>
      </w:r>
      <w:r>
        <w:rPr>
          <w:spacing w:val="-10"/>
          <w:sz w:val="20"/>
          <w:vertAlign w:val="baseline"/>
        </w:rPr>
        <w:t>+</w:t>
      </w:r>
    </w:p>
    <w:p>
      <w:pPr>
        <w:spacing w:after="0"/>
        <w:jc w:val="left"/>
        <w:rPr>
          <w:sz w:val="20"/>
        </w:rPr>
        <w:sectPr>
          <w:pgSz w:w="12240" w:h="15840"/>
          <w:pgMar w:header="0" w:footer="1252" w:top="1100" w:bottom="1440" w:left="1280" w:right="40"/>
        </w:sectPr>
      </w:pPr>
    </w:p>
    <w:p>
      <w:pPr>
        <w:spacing w:before="13"/>
        <w:ind w:left="137" w:right="0" w:firstLine="0"/>
        <w:jc w:val="left"/>
        <w:rPr>
          <w:rFonts w:ascii="Bookman Old Style" w:hAnsi="Bookman Old Style"/>
          <w:b w:val="0"/>
          <w:i/>
          <w:sz w:val="20"/>
        </w:rPr>
      </w:pPr>
      <w:r>
        <w:rPr>
          <w:rFonts w:ascii="Bookman Old Style" w:hAnsi="Bookman Old Style"/>
          <w:b w:val="0"/>
          <w:i/>
          <w:sz w:val="20"/>
        </w:rPr>
        <w:t>B</w:t>
      </w:r>
      <w:r>
        <w:rPr>
          <w:rFonts w:ascii="Century Gothic" w:hAnsi="Century Gothic"/>
          <w:sz w:val="20"/>
          <w:vertAlign w:val="subscript"/>
        </w:rPr>
        <w:t>4</w:t>
      </w:r>
      <w:r>
        <w:rPr>
          <w:rFonts w:ascii="Bookman Old Style" w:hAnsi="Bookman Old Style"/>
          <w:b w:val="0"/>
          <w:i/>
          <w:sz w:val="20"/>
          <w:vertAlign w:val="baseline"/>
        </w:rPr>
        <w:t>Battledeaths</w:t>
      </w:r>
      <w:r>
        <w:rPr>
          <w:rFonts w:ascii="Trebuchet MS" w:hAnsi="Trebuchet MS"/>
          <w:i/>
          <w:sz w:val="20"/>
          <w:vertAlign w:val="subscript"/>
        </w:rPr>
        <w:t>it</w:t>
      </w:r>
      <w:r>
        <w:rPr>
          <w:rFonts w:ascii="Lucida Sans Unicode" w:hAnsi="Lucida Sans Unicode"/>
          <w:sz w:val="20"/>
          <w:vertAlign w:val="subscript"/>
        </w:rPr>
        <w:t>−</w:t>
      </w:r>
      <w:r>
        <w:rPr>
          <w:rFonts w:ascii="Century Gothic" w:hAnsi="Century Gothic"/>
          <w:sz w:val="20"/>
          <w:vertAlign w:val="subscript"/>
        </w:rPr>
        <w:t>1</w:t>
      </w:r>
      <w:r>
        <w:rPr>
          <w:rFonts w:ascii="Century Gothic" w:hAnsi="Century Gothic"/>
          <w:spacing w:val="12"/>
          <w:sz w:val="20"/>
          <w:vertAlign w:val="baseline"/>
        </w:rPr>
        <w:t> </w:t>
      </w:r>
      <w:r>
        <w:rPr>
          <w:sz w:val="20"/>
          <w:vertAlign w:val="baseline"/>
        </w:rPr>
        <w:t>+</w:t>
      </w:r>
      <w:r>
        <w:rPr>
          <w:spacing w:val="7"/>
          <w:sz w:val="20"/>
          <w:vertAlign w:val="baseline"/>
        </w:rPr>
        <w:t> </w:t>
      </w:r>
      <w:r>
        <w:rPr>
          <w:rFonts w:ascii="Bookman Old Style" w:hAnsi="Bookman Old Style"/>
          <w:b w:val="0"/>
          <w:i/>
          <w:sz w:val="20"/>
          <w:vertAlign w:val="baseline"/>
        </w:rPr>
        <w:t>C</w:t>
      </w:r>
      <w:r>
        <w:rPr>
          <w:rFonts w:ascii="Trebuchet MS" w:hAnsi="Trebuchet MS"/>
          <w:i/>
          <w:sz w:val="20"/>
          <w:vertAlign w:val="subscript"/>
        </w:rPr>
        <w:t>i</w:t>
      </w:r>
      <w:r>
        <w:rPr>
          <w:rFonts w:ascii="Trebuchet MS" w:hAnsi="Trebuchet MS"/>
          <w:i/>
          <w:spacing w:val="9"/>
          <w:sz w:val="20"/>
          <w:vertAlign w:val="baseline"/>
        </w:rPr>
        <w:t> </w:t>
      </w:r>
      <w:r>
        <w:rPr>
          <w:sz w:val="20"/>
          <w:vertAlign w:val="baseline"/>
        </w:rPr>
        <w:t>+</w:t>
      </w:r>
      <w:r>
        <w:rPr>
          <w:spacing w:val="8"/>
          <w:sz w:val="20"/>
          <w:vertAlign w:val="baseline"/>
        </w:rPr>
        <w:t> </w:t>
      </w:r>
      <w:r>
        <w:rPr>
          <w:rFonts w:ascii="Bookman Old Style" w:hAnsi="Bookman Old Style"/>
          <w:b w:val="0"/>
          <w:i/>
          <w:spacing w:val="-12"/>
          <w:sz w:val="20"/>
          <w:vertAlign w:val="baseline"/>
        </w:rPr>
        <w:t>e</w:t>
      </w:r>
    </w:p>
    <w:sectPr>
      <w:pgSz w:w="12240" w:h="15840"/>
      <w:pgMar w:header="0" w:footer="1252" w:top="1100" w:bottom="1440" w:left="128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Georgia">
    <w:altName w:val="Georgia"/>
    <w:charset w:val="0"/>
    <w:family w:val="roman"/>
    <w:pitch w:val="variable"/>
  </w:font>
  <w:font w:name="Century Gothic">
    <w:altName w:val="Century Gothic"/>
    <w:charset w:val="0"/>
    <w:family w:val="swiss"/>
    <w:pitch w:val="variable"/>
  </w:font>
  <w:font w:name="Trebuchet MS">
    <w:altName w:val="Trebuchet MS"/>
    <w:charset w:val="0"/>
    <w:family w:val="swiss"/>
    <w:pitch w:val="variable"/>
  </w:font>
  <w:font w:name="Lucida Sans Unicode">
    <w:altName w:val="Lucida Sans Unicode"/>
    <w:charset w:val="0"/>
    <w:family w:val="swiss"/>
    <w:pitch w:val="variable"/>
  </w:font>
  <w:font w:name="Cambria">
    <w:altName w:val="Cambria"/>
    <w:charset w:val="0"/>
    <w:family w:val="roman"/>
    <w:pitch w:val="variable"/>
  </w:font>
  <w:font w:name="Century">
    <w:altName w:val="Century"/>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90.041992pt;margin-top:718.375061pt;width:12pt;height:12pt;mso-position-horizontal-relative:page;mso-position-vertical-relative:page;z-index:-16732160" type="#_x0000_t202" id="docshape1" filled="false" stroked="false">
          <v:textbox inset="0,0,0,0">
            <w:txbxContent>
              <w:p>
                <w:pPr>
                  <w:pStyle w:val="BodyText"/>
                  <w:spacing w:line="213" w:lineRule="exact"/>
                  <w:ind w:left="60"/>
                </w:pPr>
                <w:r>
                  <w:rPr>
                    <w:w w:val="115"/>
                  </w:rPr>
                  <w:fldChar w:fldCharType="begin"/>
                </w:r>
                <w:r>
                  <w:rPr>
                    <w:w w:val="115"/>
                  </w:rPr>
                  <w:instrText> PAGE </w:instrText>
                </w:r>
                <w:r>
                  <w:rPr>
                    <w:w w:val="115"/>
                  </w:rPr>
                  <w:fldChar w:fldCharType="separate"/>
                </w:r>
                <w:r>
                  <w:rPr>
                    <w:w w:val="115"/>
                  </w:rPr>
                  <w:t>1</w:t>
                </w:r>
                <w:r>
                  <w:rPr>
                    <w:w w:val="115"/>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7.550995pt;margin-top:718.375061pt;width:17pt;height:12pt;mso-position-horizontal-relative:page;mso-position-vertical-relative:page;z-index:-16731648" type="#_x0000_t202" id="docshape7" filled="false" stroked="false">
          <v:textbox inset="0,0,0,0">
            <w:txbxContent>
              <w:p>
                <w:pPr>
                  <w:pStyle w:val="BodyText"/>
                  <w:spacing w:line="213"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7.550995pt;margin-top:718.375061pt;width:17pt;height:12pt;mso-position-horizontal-relative:page;mso-position-vertical-relative:page;z-index:-16731136" type="#_x0000_t202" id="docshape22" filled="false" stroked="false">
          <v:textbox inset="0,0,0,0">
            <w:txbxContent>
              <w:p>
                <w:pPr>
                  <w:pStyle w:val="BodyText"/>
                  <w:spacing w:line="213" w:lineRule="exact"/>
                  <w:ind w:left="60"/>
                </w:pPr>
                <w:r>
                  <w:rPr>
                    <w:spacing w:val="-5"/>
                    <w:w w:val="105"/>
                  </w:rPr>
                  <w:fldChar w:fldCharType="begin"/>
                </w:r>
                <w:r>
                  <w:rPr>
                    <w:spacing w:val="-5"/>
                    <w:w w:val="105"/>
                  </w:rPr>
                  <w:instrText> PAGE </w:instrText>
                </w:r>
                <w:r>
                  <w:rPr>
                    <w:spacing w:val="-5"/>
                    <w:w w:val="105"/>
                  </w:rPr>
                  <w:fldChar w:fldCharType="separate"/>
                </w:r>
                <w:r>
                  <w:rPr>
                    <w:spacing w:val="-5"/>
                    <w:w w:val="105"/>
                  </w:rPr>
                  <w:t>17</w:t>
                </w:r>
                <w:r>
                  <w:rPr>
                    <w:spacing w:val="-5"/>
                    <w:w w:val="10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2"/>
      <w:numFmt w:val="decimal"/>
      <w:lvlText w:val="%1."/>
      <w:lvlJc w:val="left"/>
      <w:pPr>
        <w:ind w:left="779" w:hanging="343"/>
        <w:jc w:val="left"/>
      </w:pPr>
      <w:rPr>
        <w:rFonts w:hint="default" w:ascii="Georgia" w:hAnsi="Georgia" w:eastAsia="Georgia" w:cs="Georgia"/>
        <w:b w:val="0"/>
        <w:bCs w:val="0"/>
        <w:i w:val="0"/>
        <w:iCs w:val="0"/>
        <w:w w:val="93"/>
        <w:sz w:val="20"/>
        <w:szCs w:val="20"/>
        <w:lang w:val="en-US" w:eastAsia="en-US" w:bidi="ar-SA"/>
      </w:rPr>
    </w:lvl>
    <w:lvl w:ilvl="1">
      <w:start w:val="0"/>
      <w:numFmt w:val="bullet"/>
      <w:lvlText w:val="•"/>
      <w:lvlJc w:val="left"/>
      <w:pPr>
        <w:ind w:left="1794" w:hanging="343"/>
      </w:pPr>
      <w:rPr>
        <w:rFonts w:hint="default"/>
        <w:lang w:val="en-US" w:eastAsia="en-US" w:bidi="ar-SA"/>
      </w:rPr>
    </w:lvl>
    <w:lvl w:ilvl="2">
      <w:start w:val="0"/>
      <w:numFmt w:val="bullet"/>
      <w:lvlText w:val="•"/>
      <w:lvlJc w:val="left"/>
      <w:pPr>
        <w:ind w:left="2808" w:hanging="343"/>
      </w:pPr>
      <w:rPr>
        <w:rFonts w:hint="default"/>
        <w:lang w:val="en-US" w:eastAsia="en-US" w:bidi="ar-SA"/>
      </w:rPr>
    </w:lvl>
    <w:lvl w:ilvl="3">
      <w:start w:val="0"/>
      <w:numFmt w:val="bullet"/>
      <w:lvlText w:val="•"/>
      <w:lvlJc w:val="left"/>
      <w:pPr>
        <w:ind w:left="3822" w:hanging="343"/>
      </w:pPr>
      <w:rPr>
        <w:rFonts w:hint="default"/>
        <w:lang w:val="en-US" w:eastAsia="en-US" w:bidi="ar-SA"/>
      </w:rPr>
    </w:lvl>
    <w:lvl w:ilvl="4">
      <w:start w:val="0"/>
      <w:numFmt w:val="bullet"/>
      <w:lvlText w:val="•"/>
      <w:lvlJc w:val="left"/>
      <w:pPr>
        <w:ind w:left="4836" w:hanging="343"/>
      </w:pPr>
      <w:rPr>
        <w:rFonts w:hint="default"/>
        <w:lang w:val="en-US" w:eastAsia="en-US" w:bidi="ar-SA"/>
      </w:rPr>
    </w:lvl>
    <w:lvl w:ilvl="5">
      <w:start w:val="0"/>
      <w:numFmt w:val="bullet"/>
      <w:lvlText w:val="•"/>
      <w:lvlJc w:val="left"/>
      <w:pPr>
        <w:ind w:left="5850" w:hanging="343"/>
      </w:pPr>
      <w:rPr>
        <w:rFonts w:hint="default"/>
        <w:lang w:val="en-US" w:eastAsia="en-US" w:bidi="ar-SA"/>
      </w:rPr>
    </w:lvl>
    <w:lvl w:ilvl="6">
      <w:start w:val="0"/>
      <w:numFmt w:val="bullet"/>
      <w:lvlText w:val="•"/>
      <w:lvlJc w:val="left"/>
      <w:pPr>
        <w:ind w:left="6864" w:hanging="343"/>
      </w:pPr>
      <w:rPr>
        <w:rFonts w:hint="default"/>
        <w:lang w:val="en-US" w:eastAsia="en-US" w:bidi="ar-SA"/>
      </w:rPr>
    </w:lvl>
    <w:lvl w:ilvl="7">
      <w:start w:val="0"/>
      <w:numFmt w:val="bullet"/>
      <w:lvlText w:val="•"/>
      <w:lvlJc w:val="left"/>
      <w:pPr>
        <w:ind w:left="7878" w:hanging="343"/>
      </w:pPr>
      <w:rPr>
        <w:rFonts w:hint="default"/>
        <w:lang w:val="en-US" w:eastAsia="en-US" w:bidi="ar-SA"/>
      </w:rPr>
    </w:lvl>
    <w:lvl w:ilvl="8">
      <w:start w:val="0"/>
      <w:numFmt w:val="bullet"/>
      <w:lvlText w:val="•"/>
      <w:lvlJc w:val="left"/>
      <w:pPr>
        <w:ind w:left="8892" w:hanging="343"/>
      </w:pPr>
      <w:rPr>
        <w:rFonts w:hint="default"/>
        <w:lang w:val="en-US" w:eastAsia="en-US" w:bidi="ar-SA"/>
      </w:rPr>
    </w:lvl>
  </w:abstractNum>
  <w:abstractNum w:abstractNumId="1">
    <w:multiLevelType w:val="hybridMultilevel"/>
    <w:lvl w:ilvl="0">
      <w:start w:val="1"/>
      <w:numFmt w:val="decimal"/>
      <w:lvlText w:val="%1."/>
      <w:lvlJc w:val="left"/>
      <w:pPr>
        <w:ind w:left="137" w:hanging="242"/>
        <w:jc w:val="left"/>
      </w:pPr>
      <w:rPr>
        <w:rFonts w:hint="default" w:ascii="Georgia" w:hAnsi="Georgia" w:eastAsia="Georgia" w:cs="Georgia"/>
        <w:b w:val="0"/>
        <w:bCs w:val="0"/>
        <w:i w:val="0"/>
        <w:iCs w:val="0"/>
        <w:w w:val="90"/>
        <w:sz w:val="20"/>
        <w:szCs w:val="20"/>
        <w:lang w:val="en-US" w:eastAsia="en-US" w:bidi="ar-SA"/>
      </w:rPr>
    </w:lvl>
    <w:lvl w:ilvl="1">
      <w:start w:val="0"/>
      <w:numFmt w:val="bullet"/>
      <w:lvlText w:val="•"/>
      <w:lvlJc w:val="left"/>
      <w:pPr>
        <w:ind w:left="1218" w:hanging="242"/>
      </w:pPr>
      <w:rPr>
        <w:rFonts w:hint="default"/>
        <w:lang w:val="en-US" w:eastAsia="en-US" w:bidi="ar-SA"/>
      </w:rPr>
    </w:lvl>
    <w:lvl w:ilvl="2">
      <w:start w:val="0"/>
      <w:numFmt w:val="bullet"/>
      <w:lvlText w:val="•"/>
      <w:lvlJc w:val="left"/>
      <w:pPr>
        <w:ind w:left="2296" w:hanging="242"/>
      </w:pPr>
      <w:rPr>
        <w:rFonts w:hint="default"/>
        <w:lang w:val="en-US" w:eastAsia="en-US" w:bidi="ar-SA"/>
      </w:rPr>
    </w:lvl>
    <w:lvl w:ilvl="3">
      <w:start w:val="0"/>
      <w:numFmt w:val="bullet"/>
      <w:lvlText w:val="•"/>
      <w:lvlJc w:val="left"/>
      <w:pPr>
        <w:ind w:left="3374" w:hanging="242"/>
      </w:pPr>
      <w:rPr>
        <w:rFonts w:hint="default"/>
        <w:lang w:val="en-US" w:eastAsia="en-US" w:bidi="ar-SA"/>
      </w:rPr>
    </w:lvl>
    <w:lvl w:ilvl="4">
      <w:start w:val="0"/>
      <w:numFmt w:val="bullet"/>
      <w:lvlText w:val="•"/>
      <w:lvlJc w:val="left"/>
      <w:pPr>
        <w:ind w:left="4452" w:hanging="242"/>
      </w:pPr>
      <w:rPr>
        <w:rFonts w:hint="default"/>
        <w:lang w:val="en-US" w:eastAsia="en-US" w:bidi="ar-SA"/>
      </w:rPr>
    </w:lvl>
    <w:lvl w:ilvl="5">
      <w:start w:val="0"/>
      <w:numFmt w:val="bullet"/>
      <w:lvlText w:val="•"/>
      <w:lvlJc w:val="left"/>
      <w:pPr>
        <w:ind w:left="5530" w:hanging="242"/>
      </w:pPr>
      <w:rPr>
        <w:rFonts w:hint="default"/>
        <w:lang w:val="en-US" w:eastAsia="en-US" w:bidi="ar-SA"/>
      </w:rPr>
    </w:lvl>
    <w:lvl w:ilvl="6">
      <w:start w:val="0"/>
      <w:numFmt w:val="bullet"/>
      <w:lvlText w:val="•"/>
      <w:lvlJc w:val="left"/>
      <w:pPr>
        <w:ind w:left="6608" w:hanging="242"/>
      </w:pPr>
      <w:rPr>
        <w:rFonts w:hint="default"/>
        <w:lang w:val="en-US" w:eastAsia="en-US" w:bidi="ar-SA"/>
      </w:rPr>
    </w:lvl>
    <w:lvl w:ilvl="7">
      <w:start w:val="0"/>
      <w:numFmt w:val="bullet"/>
      <w:lvlText w:val="•"/>
      <w:lvlJc w:val="left"/>
      <w:pPr>
        <w:ind w:left="7686" w:hanging="242"/>
      </w:pPr>
      <w:rPr>
        <w:rFonts w:hint="default"/>
        <w:lang w:val="en-US" w:eastAsia="en-US" w:bidi="ar-SA"/>
      </w:rPr>
    </w:lvl>
    <w:lvl w:ilvl="8">
      <w:start w:val="0"/>
      <w:numFmt w:val="bullet"/>
      <w:lvlText w:val="•"/>
      <w:lvlJc w:val="left"/>
      <w:pPr>
        <w:ind w:left="8764" w:hanging="242"/>
      </w:pPr>
      <w:rPr>
        <w:rFonts w:hint="default"/>
        <w:lang w:val="en-US" w:eastAsia="en-US" w:bidi="ar-SA"/>
      </w:rPr>
    </w:lvl>
  </w:abstractNum>
  <w:abstractNum w:abstractNumId="0">
    <w:multiLevelType w:val="hybridMultilevel"/>
    <w:lvl w:ilvl="0">
      <w:start w:val="1"/>
      <w:numFmt w:val="decimal"/>
      <w:lvlText w:val="%1"/>
      <w:lvlJc w:val="left"/>
      <w:pPr>
        <w:ind w:left="601" w:hanging="485"/>
        <w:jc w:val="left"/>
      </w:pPr>
      <w:rPr>
        <w:rFonts w:hint="default" w:ascii="Georgia" w:hAnsi="Georgia" w:eastAsia="Georgia" w:cs="Georgia"/>
        <w:b/>
        <w:bCs/>
        <w:i w:val="0"/>
        <w:iCs w:val="0"/>
        <w:w w:val="117"/>
        <w:sz w:val="28"/>
        <w:szCs w:val="28"/>
        <w:lang w:val="en-US" w:eastAsia="en-US" w:bidi="ar-SA"/>
      </w:rPr>
    </w:lvl>
    <w:lvl w:ilvl="1">
      <w:start w:val="1"/>
      <w:numFmt w:val="decimal"/>
      <w:lvlText w:val="%1.%2"/>
      <w:lvlJc w:val="left"/>
      <w:pPr>
        <w:ind w:left="730" w:hanging="613"/>
        <w:jc w:val="left"/>
      </w:pPr>
      <w:rPr>
        <w:rFonts w:hint="default" w:ascii="Georgia" w:hAnsi="Georgia" w:eastAsia="Georgia" w:cs="Georgia"/>
        <w:b/>
        <w:bCs/>
        <w:i w:val="0"/>
        <w:iCs w:val="0"/>
        <w:w w:val="99"/>
        <w:sz w:val="24"/>
        <w:szCs w:val="24"/>
        <w:lang w:val="en-US" w:eastAsia="en-US" w:bidi="ar-SA"/>
      </w:rPr>
    </w:lvl>
    <w:lvl w:ilvl="2">
      <w:start w:val="0"/>
      <w:numFmt w:val="bullet"/>
      <w:lvlText w:val="•"/>
      <w:lvlJc w:val="left"/>
      <w:pPr>
        <w:ind w:left="760" w:hanging="613"/>
      </w:pPr>
      <w:rPr>
        <w:rFonts w:hint="default"/>
        <w:lang w:val="en-US" w:eastAsia="en-US" w:bidi="ar-SA"/>
      </w:rPr>
    </w:lvl>
    <w:lvl w:ilvl="3">
      <w:start w:val="0"/>
      <w:numFmt w:val="bullet"/>
      <w:lvlText w:val="•"/>
      <w:lvlJc w:val="left"/>
      <w:pPr>
        <w:ind w:left="1882" w:hanging="613"/>
      </w:pPr>
      <w:rPr>
        <w:rFonts w:hint="default"/>
        <w:lang w:val="en-US" w:eastAsia="en-US" w:bidi="ar-SA"/>
      </w:rPr>
    </w:lvl>
    <w:lvl w:ilvl="4">
      <w:start w:val="0"/>
      <w:numFmt w:val="bullet"/>
      <w:lvlText w:val="•"/>
      <w:lvlJc w:val="left"/>
      <w:pPr>
        <w:ind w:left="3005" w:hanging="613"/>
      </w:pPr>
      <w:rPr>
        <w:rFonts w:hint="default"/>
        <w:lang w:val="en-US" w:eastAsia="en-US" w:bidi="ar-SA"/>
      </w:rPr>
    </w:lvl>
    <w:lvl w:ilvl="5">
      <w:start w:val="0"/>
      <w:numFmt w:val="bullet"/>
      <w:lvlText w:val="•"/>
      <w:lvlJc w:val="left"/>
      <w:pPr>
        <w:ind w:left="4127" w:hanging="613"/>
      </w:pPr>
      <w:rPr>
        <w:rFonts w:hint="default"/>
        <w:lang w:val="en-US" w:eastAsia="en-US" w:bidi="ar-SA"/>
      </w:rPr>
    </w:lvl>
    <w:lvl w:ilvl="6">
      <w:start w:val="0"/>
      <w:numFmt w:val="bullet"/>
      <w:lvlText w:val="•"/>
      <w:lvlJc w:val="left"/>
      <w:pPr>
        <w:ind w:left="5250" w:hanging="613"/>
      </w:pPr>
      <w:rPr>
        <w:rFonts w:hint="default"/>
        <w:lang w:val="en-US" w:eastAsia="en-US" w:bidi="ar-SA"/>
      </w:rPr>
    </w:lvl>
    <w:lvl w:ilvl="7">
      <w:start w:val="0"/>
      <w:numFmt w:val="bullet"/>
      <w:lvlText w:val="•"/>
      <w:lvlJc w:val="left"/>
      <w:pPr>
        <w:ind w:left="6372" w:hanging="613"/>
      </w:pPr>
      <w:rPr>
        <w:rFonts w:hint="default"/>
        <w:lang w:val="en-US" w:eastAsia="en-US" w:bidi="ar-SA"/>
      </w:rPr>
    </w:lvl>
    <w:lvl w:ilvl="8">
      <w:start w:val="0"/>
      <w:numFmt w:val="bullet"/>
      <w:lvlText w:val="•"/>
      <w:lvlJc w:val="left"/>
      <w:pPr>
        <w:ind w:left="7495" w:hanging="61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0"/>
      <w:szCs w:val="20"/>
      <w:lang w:val="en-US" w:eastAsia="en-US" w:bidi="ar-SA"/>
    </w:rPr>
  </w:style>
  <w:style w:styleId="Heading1" w:type="paragraph">
    <w:name w:val="Heading 1"/>
    <w:basedOn w:val="Normal"/>
    <w:uiPriority w:val="1"/>
    <w:qFormat/>
    <w:pPr>
      <w:spacing w:before="36"/>
      <w:ind w:left="601" w:hanging="485"/>
      <w:outlineLvl w:val="1"/>
    </w:pPr>
    <w:rPr>
      <w:rFonts w:ascii="Georgia" w:hAnsi="Georgia" w:eastAsia="Georgia" w:cs="Georgia"/>
      <w:b/>
      <w:bCs/>
      <w:sz w:val="28"/>
      <w:szCs w:val="28"/>
      <w:lang w:val="en-US" w:eastAsia="en-US" w:bidi="ar-SA"/>
    </w:rPr>
  </w:style>
  <w:style w:styleId="Heading2" w:type="paragraph">
    <w:name w:val="Heading 2"/>
    <w:basedOn w:val="Normal"/>
    <w:uiPriority w:val="1"/>
    <w:qFormat/>
    <w:pPr>
      <w:ind w:left="730" w:hanging="614"/>
      <w:outlineLvl w:val="2"/>
    </w:pPr>
    <w:rPr>
      <w:rFonts w:ascii="Georgia" w:hAnsi="Georgia" w:eastAsia="Georgia" w:cs="Georgia"/>
      <w:b/>
      <w:bCs/>
      <w:sz w:val="24"/>
      <w:szCs w:val="24"/>
      <w:lang w:val="en-US" w:eastAsia="en-US" w:bidi="ar-SA"/>
    </w:rPr>
  </w:style>
  <w:style w:styleId="Title" w:type="paragraph">
    <w:name w:val="Title"/>
    <w:basedOn w:val="Normal"/>
    <w:uiPriority w:val="1"/>
    <w:qFormat/>
    <w:pPr>
      <w:spacing w:before="32"/>
      <w:ind w:left="119" w:right="638"/>
      <w:jc w:val="center"/>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137" w:firstLine="298"/>
    </w:pPr>
    <w:rPr>
      <w:rFonts w:ascii="Georgia" w:hAnsi="Georgia" w:eastAsia="Georgia" w:cs="Georgia"/>
      <w:lang w:val="en-US" w:eastAsia="en-US" w:bidi="ar-SA"/>
    </w:rPr>
  </w:style>
  <w:style w:styleId="TableParagraph" w:type="paragraph">
    <w:name w:val="Table Paragraph"/>
    <w:basedOn w:val="Normal"/>
    <w:uiPriority w:val="1"/>
    <w:qFormat/>
    <w:pPr>
      <w:jc w:val="center"/>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englund@umd.edu" TargetMode="External"/><Relationship Id="rId7" Type="http://schemas.openxmlformats.org/officeDocument/2006/relationships/hyperlink" Target="mailto:cent@umd.edu" TargetMode="External"/><Relationship Id="rId8" Type="http://schemas.openxmlformats.org/officeDocument/2006/relationships/hyperlink" Target="mailto:t@umd.edu" TargetMode="External"/><Relationship Id="rId9" Type="http://schemas.openxmlformats.org/officeDocument/2006/relationships/hyperlink" Target="mailto:opchic@umd.edu" TargetMode="External"/><Relationship Id="rId10" Type="http://schemas.openxmlformats.org/officeDocument/2006/relationships/hyperlink" Target="mailto:hic@umd.edu" TargetMode="External"/><Relationship Id="rId11" Type="http://schemas.openxmlformats.org/officeDocument/2006/relationships/footer" Target="footer2.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yperlink" Target="http://www.bicc.de/uploads/txbicctools/brief" TargetMode="External"/><Relationship Id="rId17" Type="http://schemas.openxmlformats.org/officeDocument/2006/relationships/image" Target="media/image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2023-04-09T18:21:45Z</dcterms:created>
  <dcterms:modified xsi:type="dcterms:W3CDTF">2023-04-09T18:21:45Z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2023-04-09T00:00:00Z</vt:filetime>
  </property>
  <property fmtid="{D5CDD505-2E9C-101B-9397-08002B2CF9AE}" pid="3" name="Creator">
    <vt:lpwstr>TeX</vt:lpwstr>
  </property>
  <property fmtid="{D5CDD505-2E9C-101B-9397-08002B2CF9AE}" pid="4" name="LastSaved">
    <vt:filetime>2023-04-09T00:00:00Z</vt:filetime>
  </property>
  <property fmtid="{D5CDD505-2E9C-101B-9397-08002B2CF9AE}" pid="5" name="PTEX.Fullbanner">
    <vt:lpwstr>This is pdfTeX, Version 3.141592653-2.6-1.40.24 (TeX Live 2022) kpathsea version 6.3.4</vt:lpwstr>
  </property>
  <property fmtid="{D5CDD505-2E9C-101B-9397-08002B2CF9AE}" pid="6" name="Producer">
    <vt:lpwstr>pdfTeX-1.40.24</vt:lpwstr>
  </property>
</Properties>
</file>